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582E4E75" w:rsidR="00FE53CF" w:rsidRPr="00C612EB" w:rsidRDefault="00FE53CF" w:rsidP="00FE53CF">
      <w:pPr>
        <w:pStyle w:val="3GPPHeader"/>
      </w:pPr>
      <w:bookmarkStart w:id="0" w:name="_Hlk486420945"/>
      <w:bookmarkEnd w:id="0"/>
      <w:r w:rsidRPr="00C612EB">
        <w:t>3GPP TSG-RAN WG1</w:t>
      </w:r>
      <w:r w:rsidR="00345C2F" w:rsidRPr="00C612EB">
        <w:t>#9</w:t>
      </w:r>
      <w:r w:rsidR="00881757">
        <w:t>2</w:t>
      </w:r>
      <w:r w:rsidRPr="00C612EB">
        <w:tab/>
      </w:r>
      <w:r w:rsidR="00881757" w:rsidRPr="00881757">
        <w:t>R1-1801496</w:t>
      </w:r>
    </w:p>
    <w:p w14:paraId="36592032" w14:textId="5E515689" w:rsidR="00345C2F" w:rsidRDefault="00881757" w:rsidP="00FE53CF">
      <w:pPr>
        <w:pStyle w:val="3GPPHeader"/>
      </w:pPr>
      <w:r w:rsidRPr="00881757">
        <w:t>Athens, Greece, 26th February – 2nd March 2018</w:t>
      </w:r>
    </w:p>
    <w:p w14:paraId="7171C166" w14:textId="77777777" w:rsidR="00881757" w:rsidRPr="00C612EB" w:rsidRDefault="00881757" w:rsidP="00FE53CF">
      <w:pPr>
        <w:pStyle w:val="3GPPHeader"/>
      </w:pPr>
    </w:p>
    <w:p w14:paraId="722EFEBE" w14:textId="77777777" w:rsidR="00FE53CF" w:rsidRPr="00C612EB" w:rsidRDefault="00FE53CF" w:rsidP="00FE53CF">
      <w:pPr>
        <w:pStyle w:val="3GPPHeader"/>
      </w:pPr>
      <w:r w:rsidRPr="00C612EB">
        <w:t>Source:</w:t>
      </w:r>
      <w:r w:rsidRPr="00C612EB">
        <w:tab/>
        <w:t>Ericsson</w:t>
      </w:r>
    </w:p>
    <w:p w14:paraId="0FEFBF74" w14:textId="548FB40A" w:rsidR="00FE53CF" w:rsidRPr="00C612EB" w:rsidRDefault="00FE53CF" w:rsidP="00FE53CF">
      <w:pPr>
        <w:pStyle w:val="3GPPHeader"/>
      </w:pPr>
      <w:r w:rsidRPr="00C612EB">
        <w:t>Title:</w:t>
      </w:r>
      <w:r w:rsidRPr="00C612EB">
        <w:tab/>
      </w:r>
      <w:r w:rsidR="00784DAA" w:rsidRPr="00C612EB">
        <w:t>Narrowband measurement accuracy improvements</w:t>
      </w:r>
      <w:r w:rsidR="00C612EB">
        <w:t xml:space="preserve"> for NB-IoT</w:t>
      </w:r>
    </w:p>
    <w:p w14:paraId="7B908580" w14:textId="2C65E7CE" w:rsidR="00FE53CF" w:rsidRPr="00C612EB" w:rsidRDefault="00FE53CF" w:rsidP="00FE53CF">
      <w:pPr>
        <w:pStyle w:val="3GPPHeader"/>
      </w:pPr>
      <w:r w:rsidRPr="00C612EB">
        <w:t>Agenda Item:</w:t>
      </w:r>
      <w:r w:rsidRPr="00C612EB">
        <w:tab/>
      </w:r>
      <w:r w:rsidR="00FD56A3" w:rsidRPr="00C612EB">
        <w:t>6.2.6.</w:t>
      </w:r>
      <w:r w:rsidR="00C27418">
        <w:t>3</w:t>
      </w:r>
    </w:p>
    <w:p w14:paraId="725E80D3" w14:textId="77777777" w:rsidR="00FE53CF" w:rsidRPr="00C612EB" w:rsidRDefault="00FE53CF" w:rsidP="00FE53CF">
      <w:pPr>
        <w:pStyle w:val="3GPPHeader"/>
      </w:pPr>
      <w:r w:rsidRPr="00C612EB">
        <w:t>Document for:</w:t>
      </w:r>
      <w:r w:rsidRPr="00C612EB">
        <w:tab/>
        <w:t>Discussion and Decision</w:t>
      </w:r>
    </w:p>
    <w:p w14:paraId="70A1F976" w14:textId="77777777" w:rsidR="00E90E49" w:rsidRPr="00CE0424" w:rsidRDefault="007F75D5" w:rsidP="00CE0424">
      <w:pPr>
        <w:pStyle w:val="Heading1"/>
      </w:pPr>
      <w:r>
        <w:t>Introduction</w:t>
      </w:r>
    </w:p>
    <w:p w14:paraId="46E6DEC5" w14:textId="780D9D33" w:rsidR="00FE53CF" w:rsidRPr="00C612EB" w:rsidRDefault="00FE53CF" w:rsidP="00FE53CF">
      <w:pPr>
        <w:spacing w:after="0"/>
      </w:pPr>
      <w:bookmarkStart w:id="1" w:name="_Ref178064866"/>
      <w:r w:rsidRPr="00C612EB">
        <w:t>The objective of the work item</w:t>
      </w:r>
      <w:r w:rsidR="005B6507" w:rsidRPr="00C612EB">
        <w:t xml:space="preserve"> on further enhanced NB-IoT</w:t>
      </w:r>
      <w:r w:rsidRPr="00C612EB">
        <w:t xml:space="preserve"> </w:t>
      </w:r>
      <w:r w:rsidRPr="00C612EB">
        <w:rPr>
          <w:bCs/>
        </w:rPr>
        <w:t xml:space="preserve">is to introduce further support of enhanced </w:t>
      </w:r>
      <w:r w:rsidRPr="00C612EB">
        <w:t>features for NB-IoT, supporting standalone, guard-band, and in-band operation modes. One objective is to study</w:t>
      </w:r>
      <w:r w:rsidR="001B7402" w:rsidRPr="00C612EB">
        <w:t>, and if found necessary improve,</w:t>
      </w:r>
      <w:r w:rsidRPr="00C612EB">
        <w:t xml:space="preserve"> </w:t>
      </w:r>
      <w:r w:rsidR="007177B3">
        <w:t>n</w:t>
      </w:r>
      <w:r w:rsidR="007177B3" w:rsidRPr="007177B3">
        <w:t xml:space="preserve">arrowband measurement accuracy improvements </w:t>
      </w:r>
      <w:r w:rsidRPr="00C612EB">
        <w:t>as listed below.</w:t>
      </w:r>
    </w:p>
    <w:p w14:paraId="21FCFC31" w14:textId="77777777" w:rsidR="00FE53CF" w:rsidRPr="00C612EB" w:rsidRDefault="00FE53CF" w:rsidP="00FE53CF">
      <w:pPr>
        <w:spacing w:after="0"/>
        <w:rPr>
          <w:rFonts w:eastAsia="MS Mincho"/>
          <w:bCs/>
        </w:rPr>
      </w:pPr>
    </w:p>
    <w:p w14:paraId="0163A85D" w14:textId="77777777" w:rsidR="00FE53CF" w:rsidRDefault="00FE53CF" w:rsidP="00FE53CF">
      <w:pPr>
        <w:pStyle w:val="BodyText"/>
      </w:pPr>
      <w:r>
        <w:rPr>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907F11" w14:textId="77777777" w:rsidR="005D31C4" w:rsidRPr="00C612EB" w:rsidRDefault="005D31C4" w:rsidP="00784DAA">
                            <w:pPr>
                              <w:spacing w:after="0"/>
                              <w:rPr>
                                <w:b/>
                                <w:bCs/>
                                <w:i/>
                                <w:u w:val="single"/>
                              </w:rPr>
                            </w:pPr>
                            <w:r w:rsidRPr="00C612EB">
                              <w:rPr>
                                <w:b/>
                                <w:bCs/>
                                <w:i/>
                                <w:u w:val="single"/>
                              </w:rPr>
                              <w:t>Narrowband measurement accuracy improvements [RAN1, RAN4, RAN2]</w:t>
                            </w:r>
                          </w:p>
                          <w:p w14:paraId="35DB8005" w14:textId="696BB18C" w:rsidR="005D31C4" w:rsidRPr="00C612EB" w:rsidRDefault="005D31C4" w:rsidP="00784DAA">
                            <w:pPr>
                              <w:numPr>
                                <w:ilvl w:val="0"/>
                                <w:numId w:val="15"/>
                              </w:numPr>
                              <w:spacing w:after="0"/>
                              <w:rPr>
                                <w:bCs/>
                                <w:i/>
                              </w:rPr>
                            </w:pPr>
                            <w:r w:rsidRPr="00C612EB">
                              <w:rPr>
                                <w:bCs/>
                                <w:i/>
                              </w:rPr>
                              <w:t>Evaluate and if appropriate specify use of additional existing signals than NRS for RRM measurements, with associated RAN4 core requirements taking into account e.g. UE complexity, power consumption, system capacity.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6907F11" w14:textId="77777777" w:rsidR="005D31C4" w:rsidRPr="00C612EB" w:rsidRDefault="005D31C4" w:rsidP="00784DAA">
                      <w:pPr>
                        <w:spacing w:after="0"/>
                        <w:rPr>
                          <w:b/>
                          <w:bCs/>
                          <w:i/>
                          <w:u w:val="single"/>
                        </w:rPr>
                      </w:pPr>
                      <w:r w:rsidRPr="00C612EB">
                        <w:rPr>
                          <w:b/>
                          <w:bCs/>
                          <w:i/>
                          <w:u w:val="single"/>
                        </w:rPr>
                        <w:t>Narrowband measurement accuracy improvements [RAN1, RAN4, RAN2]</w:t>
                      </w:r>
                    </w:p>
                    <w:p w14:paraId="35DB8005" w14:textId="696BB18C" w:rsidR="005D31C4" w:rsidRPr="00C612EB" w:rsidRDefault="005D31C4" w:rsidP="00784DAA">
                      <w:pPr>
                        <w:numPr>
                          <w:ilvl w:val="0"/>
                          <w:numId w:val="15"/>
                        </w:numPr>
                        <w:spacing w:after="0"/>
                        <w:rPr>
                          <w:bCs/>
                          <w:i/>
                        </w:rPr>
                      </w:pPr>
                      <w:r w:rsidRPr="00C612EB">
                        <w:rPr>
                          <w:bCs/>
                          <w:i/>
                        </w:rPr>
                        <w:t>Evaluate and if appropriate specify use of additional existing signals than NRS for RRM measurements, with associated RAN4 core requirements taking into account e.g. UE complexity, power consumption, system capacity.</w:t>
                      </w:r>
                    </w:p>
                  </w:txbxContent>
                </v:textbox>
                <w10:anchorlock/>
              </v:shape>
            </w:pict>
          </mc:Fallback>
        </mc:AlternateContent>
      </w:r>
    </w:p>
    <w:p w14:paraId="673EB2FA" w14:textId="4F3FF92D" w:rsidR="00FE53CF" w:rsidRPr="00C612EB" w:rsidRDefault="001645BE" w:rsidP="00FE53CF">
      <w:pPr>
        <w:pStyle w:val="BodyText"/>
      </w:pPr>
      <w:r w:rsidRPr="00C612EB">
        <w:t>In RAN1#89</w:t>
      </w:r>
      <w:r w:rsidR="00FE53CF" w:rsidRPr="00C612EB">
        <w:t xml:space="preserve">, </w:t>
      </w:r>
      <w:r w:rsidRPr="00C612EB">
        <w:t>the following agreements were made</w:t>
      </w:r>
      <w:r w:rsidR="001B7402" w:rsidRPr="00C612EB">
        <w:t xml:space="preserve"> with regards to </w:t>
      </w:r>
      <w:r w:rsidR="00784DAA" w:rsidRPr="00C612EB">
        <w:t>measurement accuracy improvements</w:t>
      </w:r>
      <w:r w:rsidR="001B7402" w:rsidRPr="00C612EB">
        <w:t>:</w:t>
      </w:r>
      <w:r w:rsidR="00FE53CF" w:rsidRPr="00C612EB">
        <w:t xml:space="preserve"> </w:t>
      </w:r>
    </w:p>
    <w:p w14:paraId="5237AAB2" w14:textId="77777777" w:rsidR="00784DAA" w:rsidRPr="00C612EB" w:rsidRDefault="00784DAA" w:rsidP="00784DAA">
      <w:pPr>
        <w:numPr>
          <w:ilvl w:val="0"/>
          <w:numId w:val="41"/>
        </w:numPr>
        <w:spacing w:after="0"/>
        <w:rPr>
          <w:rFonts w:eastAsia="MS Mincho"/>
          <w:i/>
          <w:lang w:eastAsia="ja-JP"/>
        </w:rPr>
      </w:pPr>
      <w:r w:rsidRPr="00C612EB">
        <w:rPr>
          <w:rFonts w:eastAsia="MS Mincho"/>
          <w:i/>
          <w:lang w:eastAsia="ja-JP"/>
        </w:rPr>
        <w:t>For connected mode in the serving cell and idle mode in camped cell and neighbour cells, it is feasible from RAN1 point of view to use NSSS on an anchor carrier for RRM measurement</w:t>
      </w:r>
    </w:p>
    <w:p w14:paraId="3C9C602E" w14:textId="60B0A01B" w:rsidR="00784DAA" w:rsidRPr="00C612EB" w:rsidRDefault="00784DAA" w:rsidP="00784DAA">
      <w:pPr>
        <w:numPr>
          <w:ilvl w:val="1"/>
          <w:numId w:val="41"/>
        </w:numPr>
        <w:spacing w:after="0"/>
        <w:rPr>
          <w:rFonts w:eastAsia="MS Mincho"/>
          <w:i/>
          <w:lang w:eastAsia="ja-JP"/>
        </w:rPr>
      </w:pPr>
      <w:r w:rsidRPr="00C612EB">
        <w:rPr>
          <w:rFonts w:eastAsia="MS Mincho"/>
          <w:i/>
          <w:lang w:eastAsia="ja-JP"/>
        </w:rPr>
        <w:t>RAN4 are requested to consider if NSSS is a suitable transmission</w:t>
      </w:r>
    </w:p>
    <w:p w14:paraId="5622A5AB" w14:textId="77777777" w:rsidR="00784DAA" w:rsidRPr="00C612EB" w:rsidRDefault="00784DAA" w:rsidP="00784DAA">
      <w:pPr>
        <w:numPr>
          <w:ilvl w:val="1"/>
          <w:numId w:val="41"/>
        </w:numPr>
        <w:spacing w:after="0"/>
        <w:rPr>
          <w:rFonts w:eastAsia="MS Mincho"/>
          <w:i/>
          <w:lang w:eastAsia="ja-JP"/>
        </w:rPr>
      </w:pPr>
      <w:r w:rsidRPr="00C612EB">
        <w:rPr>
          <w:rFonts w:eastAsia="MS Mincho"/>
          <w:i/>
          <w:lang w:eastAsia="ja-JP"/>
        </w:rPr>
        <w:t>How to use, i.e. if and/or under what circumstances to combine NRS with NSSS depend on RAN4 study</w:t>
      </w:r>
    </w:p>
    <w:p w14:paraId="0A3A6C9D" w14:textId="77777777" w:rsidR="00784DAA" w:rsidRPr="00C612EB" w:rsidRDefault="00784DAA" w:rsidP="00784DAA">
      <w:pPr>
        <w:numPr>
          <w:ilvl w:val="1"/>
          <w:numId w:val="41"/>
        </w:numPr>
        <w:spacing w:after="0"/>
        <w:rPr>
          <w:rFonts w:eastAsia="MS Mincho"/>
          <w:i/>
          <w:lang w:eastAsia="ja-JP"/>
        </w:rPr>
      </w:pPr>
      <w:r w:rsidRPr="00C612EB">
        <w:rPr>
          <w:rFonts w:eastAsia="MS Mincho"/>
          <w:i/>
          <w:lang w:eastAsia="ja-JP"/>
        </w:rPr>
        <w:t>Send an LS containing the above to RAN4, including the agreement from RAN1#88bis that “At least NSSS is used additionally to NRS for in-band, guard-band, standalone”</w:t>
      </w:r>
    </w:p>
    <w:p w14:paraId="7E656E31" w14:textId="77777777" w:rsidR="00784DAA" w:rsidRPr="00784DAA" w:rsidRDefault="00784DAA" w:rsidP="00784DAA">
      <w:pPr>
        <w:numPr>
          <w:ilvl w:val="0"/>
          <w:numId w:val="41"/>
        </w:numPr>
        <w:spacing w:after="0"/>
        <w:rPr>
          <w:rFonts w:eastAsia="MS Mincho"/>
          <w:i/>
          <w:lang w:eastAsia="ja-JP"/>
        </w:rPr>
      </w:pPr>
      <w:r w:rsidRPr="00784DAA">
        <w:rPr>
          <w:rFonts w:eastAsia="MS Mincho"/>
          <w:i/>
          <w:lang w:eastAsia="ja-JP"/>
        </w:rPr>
        <w:t>Continue to study</w:t>
      </w:r>
    </w:p>
    <w:p w14:paraId="14413F9F" w14:textId="77777777" w:rsidR="00784DAA" w:rsidRPr="00C612EB" w:rsidRDefault="00784DAA" w:rsidP="00784DAA">
      <w:pPr>
        <w:numPr>
          <w:ilvl w:val="1"/>
          <w:numId w:val="41"/>
        </w:numPr>
        <w:spacing w:after="0"/>
        <w:rPr>
          <w:rFonts w:eastAsia="MS Mincho"/>
          <w:i/>
          <w:lang w:eastAsia="ja-JP"/>
        </w:rPr>
      </w:pPr>
      <w:r w:rsidRPr="00C612EB">
        <w:rPr>
          <w:rFonts w:eastAsia="MS Mincho"/>
          <w:i/>
          <w:lang w:eastAsia="ja-JP"/>
        </w:rPr>
        <w:t>CRS for in-band operation mode</w:t>
      </w:r>
    </w:p>
    <w:p w14:paraId="263266F1" w14:textId="6D00F231" w:rsidR="00784DAA" w:rsidRPr="00C612EB" w:rsidRDefault="00784DAA" w:rsidP="00784DAA">
      <w:pPr>
        <w:numPr>
          <w:ilvl w:val="1"/>
          <w:numId w:val="41"/>
        </w:numPr>
        <w:spacing w:after="0"/>
        <w:rPr>
          <w:rFonts w:eastAsia="MS Mincho"/>
          <w:i/>
          <w:lang w:eastAsia="ja-JP"/>
        </w:rPr>
      </w:pPr>
      <w:r w:rsidRPr="00C612EB">
        <w:rPr>
          <w:rFonts w:eastAsia="MS Mincho"/>
          <w:i/>
          <w:lang w:eastAsia="ja-JP"/>
        </w:rPr>
        <w:t>NPBCH, NPDCCH, NPDSCH on an anchor carrier in the serving cell</w:t>
      </w:r>
    </w:p>
    <w:p w14:paraId="5858374A" w14:textId="77777777" w:rsidR="00784DAA" w:rsidRPr="00C612EB" w:rsidRDefault="00784DAA" w:rsidP="00784DAA">
      <w:pPr>
        <w:spacing w:after="0"/>
        <w:ind w:left="1440"/>
        <w:rPr>
          <w:rFonts w:eastAsia="MS Mincho"/>
          <w:lang w:eastAsia="ja-JP"/>
        </w:rPr>
      </w:pPr>
    </w:p>
    <w:p w14:paraId="2155B84E" w14:textId="4186153A" w:rsidR="00DB34A7" w:rsidRDefault="00C27418" w:rsidP="00C27418">
      <w:pPr>
        <w:pStyle w:val="BodyText"/>
      </w:pPr>
      <w:r>
        <w:t xml:space="preserve">In RAN1#91, an LS reply </w:t>
      </w:r>
      <w:r w:rsidR="00DB34A7">
        <w:fldChar w:fldCharType="begin"/>
      </w:r>
      <w:r w:rsidR="00DB34A7">
        <w:instrText xml:space="preserve"> REF _Ref506231624 \r \h </w:instrText>
      </w:r>
      <w:r w:rsidR="00DB34A7">
        <w:fldChar w:fldCharType="separate"/>
      </w:r>
      <w:r w:rsidR="00306F91">
        <w:t>[4]</w:t>
      </w:r>
      <w:r w:rsidR="00DB34A7">
        <w:fldChar w:fldCharType="end"/>
      </w:r>
      <w:r w:rsidR="00DB34A7">
        <w:t xml:space="preserve"> </w:t>
      </w:r>
      <w:r>
        <w:t xml:space="preserve">from RAN4 to RAN1 regarding the use of NSSS to improve the measurement </w:t>
      </w:r>
      <w:r w:rsidR="00DB34A7">
        <w:t>states that</w:t>
      </w:r>
    </w:p>
    <w:p w14:paraId="38DB8D6E" w14:textId="49A7F573" w:rsidR="00DB34A7" w:rsidRDefault="00DB34A7" w:rsidP="002B5870">
      <w:pPr>
        <w:pStyle w:val="BodyText"/>
        <w:ind w:left="432"/>
      </w:pPr>
      <w:r>
        <w:t>“</w:t>
      </w:r>
      <w:r w:rsidRPr="00306F91">
        <w:rPr>
          <w:rFonts w:ascii="Times New Roman" w:hAnsi="Times New Roman" w:cs="Times New Roman"/>
          <w:i/>
        </w:rPr>
        <w:t>RAN4 confirms that it is feasible to use NSSS on an anchor carrier for RRM measurement, under the working assumption that the ratio of NSSS EPRE to NRS EPRE is configured from {-3, 0, 3, spare} dB.</w:t>
      </w:r>
      <w:r>
        <w:t>”</w:t>
      </w:r>
    </w:p>
    <w:p w14:paraId="4B8026BA" w14:textId="6D0262BB" w:rsidR="00DB34A7" w:rsidRDefault="00DB34A7" w:rsidP="002B5870">
      <w:pPr>
        <w:pStyle w:val="BodyText"/>
      </w:pPr>
      <w:r>
        <w:t>However, RAN4 also identifies some potential issues as follows, and conducts further studies.</w:t>
      </w:r>
    </w:p>
    <w:p w14:paraId="6CE62E8E" w14:textId="434E1B71" w:rsidR="00DB34A7" w:rsidRDefault="00DB34A7" w:rsidP="00306F91">
      <w:pPr>
        <w:pStyle w:val="BodyText"/>
        <w:ind w:left="567"/>
        <w:jc w:val="both"/>
      </w:pPr>
      <w:r>
        <w:t>“</w:t>
      </w:r>
      <w:r w:rsidRPr="00306F91">
        <w:rPr>
          <w:rFonts w:ascii="Times New Roman" w:hAnsi="Times New Roman" w:cs="Times New Roman"/>
          <w:i/>
        </w:rPr>
        <w:t>RAN4 identified that the antenna port(s) used for the measurement may vary arbitrarily across subframes and across cells in NSSS, and is still studying the potential impact of such variation. Solutions that might have RAN1 impact are not excluded from further study.</w:t>
      </w:r>
      <w:r>
        <w:t>”</w:t>
      </w:r>
    </w:p>
    <w:p w14:paraId="08AD895C" w14:textId="66F933DA" w:rsidR="00FE53CF" w:rsidRPr="00CE0424" w:rsidRDefault="00FE53CF" w:rsidP="00731228">
      <w:pPr>
        <w:pStyle w:val="BodyText"/>
      </w:pPr>
      <w:r w:rsidRPr="00C612EB">
        <w:lastRenderedPageBreak/>
        <w:t xml:space="preserve">In this contribution, </w:t>
      </w:r>
      <w:r w:rsidR="00DB34A7">
        <w:t xml:space="preserve">based on the RAN4 LS reply, we discussed the potential RAN1 impacts regarding the use of NSSS for NRSRP and NRSRQ measurements.  In addition, </w:t>
      </w:r>
      <w:r w:rsidRPr="00C612EB">
        <w:t xml:space="preserve">we present our views on </w:t>
      </w:r>
      <w:r w:rsidR="00784DAA" w:rsidRPr="00C612EB">
        <w:t xml:space="preserve">the suitability to use CRS for </w:t>
      </w:r>
      <w:r w:rsidR="003F3DC5" w:rsidRPr="00C612EB">
        <w:t>measurements</w:t>
      </w:r>
      <w:r w:rsidR="00784DAA" w:rsidRPr="00C612EB">
        <w:t xml:space="preserve"> and on </w:t>
      </w:r>
      <w:r w:rsidR="0094385C" w:rsidRPr="00C612EB">
        <w:t xml:space="preserve">the gains from and </w:t>
      </w:r>
      <w:r w:rsidR="00784DAA" w:rsidRPr="00C612EB">
        <w:t xml:space="preserve">ability to improve connected mode </w:t>
      </w:r>
      <w:r w:rsidR="003F3DC5" w:rsidRPr="00C612EB">
        <w:t>measurements using the NPBCH, NPDCCH and NPDSCH</w:t>
      </w:r>
      <w:r w:rsidR="00784DAA" w:rsidRPr="00C612EB">
        <w:t>.</w:t>
      </w:r>
      <w:r w:rsidR="008E1C1F" w:rsidRPr="00C612EB">
        <w:t xml:space="preserve"> </w:t>
      </w:r>
      <w:r w:rsidR="00DB34A7">
        <w:t xml:space="preserve">This paper is a revision of </w:t>
      </w:r>
      <w:r w:rsidR="00DB34A7" w:rsidRPr="00C612EB">
        <w:t>R1-1719366</w:t>
      </w:r>
      <w:r w:rsidR="00DB34A7">
        <w:t>.</w:t>
      </w:r>
    </w:p>
    <w:bookmarkEnd w:id="1"/>
    <w:p w14:paraId="53EF906F" w14:textId="2B0B297C" w:rsidR="004000E8" w:rsidRDefault="0045224B" w:rsidP="00CE0424">
      <w:pPr>
        <w:pStyle w:val="Heading1"/>
      </w:pPr>
      <w:r>
        <w:t>Discussion</w:t>
      </w:r>
    </w:p>
    <w:p w14:paraId="66433BC2" w14:textId="7FA06065" w:rsidR="002B5870" w:rsidRDefault="00430832" w:rsidP="002B5870">
      <w:pPr>
        <w:pStyle w:val="Heading2"/>
      </w:pPr>
      <w:r>
        <w:t xml:space="preserve">Enhanced </w:t>
      </w:r>
      <w:r w:rsidR="002B5870">
        <w:t>NRSRP measurements</w:t>
      </w:r>
    </w:p>
    <w:p w14:paraId="62D5B32C" w14:textId="2844EA15" w:rsidR="007179C2" w:rsidRPr="007179C2" w:rsidRDefault="002B5870" w:rsidP="00306F91">
      <w:pPr>
        <w:keepNext/>
        <w:keepLines/>
        <w:spacing w:before="60" w:after="180" w:line="240" w:lineRule="auto"/>
        <w:rPr>
          <w:rFonts w:ascii="Arial" w:eastAsia="Times New Roman" w:hAnsi="Arial" w:cs="Times New Roman"/>
          <w:b/>
          <w:sz w:val="20"/>
          <w:szCs w:val="20"/>
          <w:lang w:val="en-GB"/>
        </w:rPr>
      </w:pPr>
      <w:r>
        <w:rPr>
          <w:lang w:val="en-GB"/>
        </w:rPr>
        <w:t>Since RAN4 confirms the feasibility to use NSSS on an anchor carrier for RRM measurement, RAN1 can continue the work regarding the use of NSSS for NRSRP measurements. This implies the definition of NRSRQ needs to be updated in TS 36.214. Current</w:t>
      </w:r>
      <w:r w:rsidR="007179C2">
        <w:rPr>
          <w:lang w:val="en-GB"/>
        </w:rPr>
        <w:t>ly, we have the following definition for NRSRP</w:t>
      </w:r>
      <w:r w:rsidR="00430832">
        <w:rPr>
          <w:lang w:val="en-GB"/>
        </w:rPr>
        <w:t>:</w:t>
      </w:r>
    </w:p>
    <w:p w14:paraId="3E1B041F" w14:textId="14183AA1" w:rsidR="00430832" w:rsidRDefault="00430832" w:rsidP="00306F91">
      <w:pPr>
        <w:pStyle w:val="Caption"/>
        <w:keepNext/>
      </w:pPr>
      <w:r>
        <w:t xml:space="preserve">Table </w:t>
      </w:r>
      <w:r>
        <w:fldChar w:fldCharType="begin"/>
      </w:r>
      <w:r>
        <w:instrText xml:space="preserve"> SEQ Table \* ARABIC </w:instrText>
      </w:r>
      <w:r>
        <w:fldChar w:fldCharType="separate"/>
      </w:r>
      <w:r w:rsidR="00306F91">
        <w:rPr>
          <w:noProof/>
        </w:rPr>
        <w:t>1</w:t>
      </w:r>
      <w:r>
        <w:fldChar w:fldCharType="end"/>
      </w:r>
      <w:r>
        <w:t xml:space="preserve"> TS 36.214 NRS</w:t>
      </w:r>
      <w:r w:rsidR="00947A46">
        <w:t>R</w:t>
      </w:r>
      <w:r>
        <w:t>P definition.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179C2" w:rsidRPr="007179C2" w14:paraId="46662E66" w14:textId="77777777" w:rsidTr="007179C2">
        <w:trPr>
          <w:cantSplit/>
        </w:trPr>
        <w:tc>
          <w:tcPr>
            <w:tcW w:w="1951" w:type="dxa"/>
          </w:tcPr>
          <w:p w14:paraId="3B478CFB" w14:textId="77777777" w:rsidR="007179C2" w:rsidRPr="007179C2" w:rsidRDefault="007179C2" w:rsidP="007179C2">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Definition</w:t>
            </w:r>
          </w:p>
        </w:tc>
        <w:tc>
          <w:tcPr>
            <w:tcW w:w="7787" w:type="dxa"/>
          </w:tcPr>
          <w:p w14:paraId="42F84589"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Narrowband Reference signal received power (NRSRP), is defined as the linear average over the power contributions (in [W]) of the resource elements that carry narrowband specific reference signals within the considered measurement frequency bandwidth. </w:t>
            </w:r>
          </w:p>
          <w:p w14:paraId="49907621"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p>
          <w:p w14:paraId="4610B644"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For NRS based NRSRP determination the narrowband reference signals for the first antenna port (R</w:t>
            </w:r>
            <w:r w:rsidRPr="007179C2">
              <w:rPr>
                <w:rFonts w:ascii="Arial" w:eastAsia="Times New Roman" w:hAnsi="Arial" w:cs="Times New Roman"/>
                <w:sz w:val="18"/>
                <w:szCs w:val="20"/>
                <w:vertAlign w:val="subscript"/>
                <w:lang w:val="en-GB"/>
              </w:rPr>
              <w:t>2000</w:t>
            </w:r>
            <w:r w:rsidRPr="007179C2">
              <w:rPr>
                <w:rFonts w:ascii="Arial" w:eastAsia="Times New Roman" w:hAnsi="Arial" w:cs="Times New Roman"/>
                <w:sz w:val="18"/>
                <w:szCs w:val="20"/>
                <w:lang w:val="en-GB"/>
              </w:rPr>
              <w:t>) according to TS 36.211 [3] shall be used. If the UE can reliably detect that a second antenna port (R</w:t>
            </w:r>
            <w:r w:rsidRPr="007179C2">
              <w:rPr>
                <w:rFonts w:ascii="Arial" w:eastAsia="Times New Roman" w:hAnsi="Arial" w:cs="Times New Roman"/>
                <w:sz w:val="18"/>
                <w:szCs w:val="20"/>
                <w:vertAlign w:val="subscript"/>
                <w:lang w:val="en-GB"/>
              </w:rPr>
              <w:t>2001</w:t>
            </w:r>
            <w:r w:rsidRPr="007179C2">
              <w:rPr>
                <w:rFonts w:ascii="Arial" w:eastAsia="Times New Roman" w:hAnsi="Arial" w:cs="Times New Roman"/>
                <w:sz w:val="18"/>
                <w:szCs w:val="20"/>
                <w:lang w:val="en-GB"/>
              </w:rPr>
              <w:t xml:space="preserve">) is available it may use the second antenna port in addition to the first antenna port to determine NRSRP. </w:t>
            </w:r>
          </w:p>
          <w:p w14:paraId="0A2D2639"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p>
          <w:p w14:paraId="0120122E"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The reference point for the NRS</w:t>
            </w:r>
            <w:r w:rsidRPr="007179C2">
              <w:rPr>
                <w:rFonts w:ascii="Arial" w:eastAsia="Times New Roman" w:hAnsi="Arial" w:cs="Times New Roman" w:hint="eastAsia"/>
                <w:sz w:val="18"/>
                <w:szCs w:val="20"/>
                <w:lang w:val="en-GB"/>
              </w:rPr>
              <w:t>R</w:t>
            </w:r>
            <w:r w:rsidRPr="007179C2">
              <w:rPr>
                <w:rFonts w:ascii="Arial" w:eastAsia="Times New Roman" w:hAnsi="Arial" w:cs="Times New Roman"/>
                <w:sz w:val="18"/>
                <w:szCs w:val="20"/>
                <w:lang w:val="en-GB"/>
              </w:rPr>
              <w:t>P shall be the antenna connector of the UE.</w:t>
            </w:r>
          </w:p>
        </w:tc>
      </w:tr>
      <w:tr w:rsidR="007179C2" w:rsidRPr="007179C2" w14:paraId="095D6438" w14:textId="77777777" w:rsidTr="007179C2">
        <w:trPr>
          <w:cantSplit/>
        </w:trPr>
        <w:tc>
          <w:tcPr>
            <w:tcW w:w="1951" w:type="dxa"/>
          </w:tcPr>
          <w:p w14:paraId="590EE807" w14:textId="77777777" w:rsidR="007179C2" w:rsidRPr="007179C2" w:rsidRDefault="007179C2" w:rsidP="007179C2">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Applicable for</w:t>
            </w:r>
          </w:p>
        </w:tc>
        <w:tc>
          <w:tcPr>
            <w:tcW w:w="7787" w:type="dxa"/>
          </w:tcPr>
          <w:p w14:paraId="2BE84C34"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RRC_IDLE intra-frequency,</w:t>
            </w:r>
          </w:p>
          <w:p w14:paraId="09C043CE" w14:textId="77777777" w:rsidR="007179C2" w:rsidRPr="007179C2" w:rsidRDefault="007179C2" w:rsidP="007179C2">
            <w:pPr>
              <w:keepNext/>
              <w:keepLines/>
              <w:spacing w:after="0" w:line="240" w:lineRule="auto"/>
              <w:rPr>
                <w:rFonts w:ascii="Arial" w:eastAsia="Times New Roman" w:hAnsi="Arial" w:cs="Times New Roman"/>
                <w:sz w:val="18"/>
                <w:szCs w:val="20"/>
                <w:lang w:val="en-GB" w:eastAsia="ja-JP"/>
              </w:rPr>
            </w:pPr>
            <w:r w:rsidRPr="007179C2">
              <w:rPr>
                <w:rFonts w:ascii="Arial" w:eastAsia="Times New Roman" w:hAnsi="Arial" w:cs="Times New Roman"/>
                <w:sz w:val="18"/>
                <w:szCs w:val="20"/>
                <w:lang w:val="en-GB"/>
              </w:rPr>
              <w:t>RRC_IDLE inter-frequency,</w:t>
            </w:r>
          </w:p>
          <w:p w14:paraId="2FF5F24E" w14:textId="77777777" w:rsidR="007179C2" w:rsidRPr="007179C2" w:rsidRDefault="007179C2" w:rsidP="007179C2">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RRC_CONNECTED intra-frequency,</w:t>
            </w:r>
          </w:p>
        </w:tc>
      </w:tr>
    </w:tbl>
    <w:p w14:paraId="5EDA6F90" w14:textId="77777777" w:rsidR="007179C2" w:rsidRPr="007179C2" w:rsidRDefault="007179C2" w:rsidP="007179C2">
      <w:pPr>
        <w:spacing w:after="180" w:line="240" w:lineRule="auto"/>
        <w:rPr>
          <w:rFonts w:ascii="Times New Roman" w:eastAsia="Times New Roman" w:hAnsi="Times New Roman" w:cs="Times New Roman"/>
          <w:sz w:val="20"/>
          <w:szCs w:val="20"/>
          <w:lang w:val="en-GB"/>
        </w:rPr>
      </w:pPr>
    </w:p>
    <w:p w14:paraId="6A797E2D" w14:textId="1FD18A27" w:rsidR="00D33C2D" w:rsidRDefault="00DB55C5" w:rsidP="00306F91">
      <w:pPr>
        <w:jc w:val="both"/>
        <w:rPr>
          <w:lang w:val="en-GB"/>
        </w:rPr>
      </w:pPr>
      <w:r>
        <w:rPr>
          <w:lang w:val="en-GB"/>
        </w:rPr>
        <w:t xml:space="preserve">As RAN4 identifies that for NRSRP measurements, </w:t>
      </w:r>
      <w:r w:rsidR="003B02C9">
        <w:rPr>
          <w:lang w:val="en-GB"/>
        </w:rPr>
        <w:t>the potential issue is that “</w:t>
      </w:r>
      <w:r w:rsidR="003B02C9" w:rsidRPr="00F65DE8">
        <w:rPr>
          <w:rFonts w:ascii="Times New Roman" w:hAnsi="Times New Roman" w:cs="Times New Roman"/>
          <w:i/>
        </w:rPr>
        <w:t>RAN4 identified that the antenna port(s) used for the measurement may vary arbitrarily across subframes and across cells in NSSS</w:t>
      </w:r>
      <w:r w:rsidR="003B02C9">
        <w:rPr>
          <w:lang w:val="en-GB"/>
        </w:rPr>
        <w:t xml:space="preserve">”. In TS 36.211, it indicates that the UE should not assume NSSS is transmitted from the same antenna ports in different subframes. This allows NSSS transmit diversity in </w:t>
      </w:r>
      <w:r w:rsidR="003B02C9" w:rsidRPr="003B02C9">
        <w:rPr>
          <w:lang w:val="en-GB"/>
        </w:rPr>
        <w:t>RAN1 specifications</w:t>
      </w:r>
      <w:r w:rsidR="003B02C9">
        <w:rPr>
          <w:lang w:val="en-GB"/>
        </w:rPr>
        <w:t xml:space="preserve"> to improve the coverage of the NSSS if multiple TX antennas are used at the eNB. Therefore, it is preferable not to change this behaviour, as existing cells are planned and deployed based on the NSSS can achieve a certain coverage level. </w:t>
      </w:r>
      <w:r w:rsidR="007E6D7D">
        <w:rPr>
          <w:lang w:val="en-GB"/>
        </w:rPr>
        <w:t xml:space="preserve">To limit the flexibility by which the NSSS can be mapped to physical antenna ports is also not future proof at it will limit the potential use of the available antennas in future deployments. </w:t>
      </w:r>
    </w:p>
    <w:p w14:paraId="73757837" w14:textId="4229674A" w:rsidR="003B02C9" w:rsidRPr="00C612EB" w:rsidRDefault="003B02C9" w:rsidP="003B02C9">
      <w:pPr>
        <w:pStyle w:val="Observation"/>
        <w:numPr>
          <w:ilvl w:val="0"/>
          <w:numId w:val="38"/>
        </w:numPr>
        <w:ind w:left="1701" w:hanging="1701"/>
      </w:pPr>
      <w:r>
        <w:t xml:space="preserve">To limit the transmit diversity possibilities of NSSS </w:t>
      </w:r>
      <w:r w:rsidR="007E6D7D">
        <w:t>may</w:t>
      </w:r>
      <w:r>
        <w:t xml:space="preserve"> result in negative impacts on existing</w:t>
      </w:r>
      <w:r w:rsidR="007E6D7D">
        <w:t xml:space="preserve"> and future</w:t>
      </w:r>
      <w:r>
        <w:t xml:space="preserve"> NB-IoT </w:t>
      </w:r>
      <w:r w:rsidR="007E6D7D">
        <w:t xml:space="preserve">deployments. </w:t>
      </w:r>
    </w:p>
    <w:p w14:paraId="40351AC4" w14:textId="2FBFBF6A" w:rsidR="003B02C9" w:rsidRDefault="003B02C9" w:rsidP="00966E10">
      <w:pPr>
        <w:jc w:val="both"/>
      </w:pPr>
      <w:r>
        <w:t xml:space="preserve">Therefore, a practical way is to convey information of how </w:t>
      </w:r>
      <w:r w:rsidR="00FA7C7E">
        <w:t xml:space="preserve">a UE makes best </w:t>
      </w:r>
      <w:r>
        <w:t>use</w:t>
      </w:r>
      <w:r w:rsidR="00FA7C7E">
        <w:t xml:space="preserve"> of the</w:t>
      </w:r>
      <w:r>
        <w:t xml:space="preserve"> NSSS. I</w:t>
      </w:r>
      <w:r w:rsidRPr="003B02C9">
        <w:t xml:space="preserve">f the UE is provided guidance on how to conduct the measurements, e.g., number of consecutive NSSS occasions to use, the UE can adapt the measurement procedure to avoid conducting measurements only on one of the transmit diversity configurations in use. Such information may for instance be conveyed to the UE via </w:t>
      </w:r>
      <w:r w:rsidR="00430832">
        <w:t>RRC signaling</w:t>
      </w:r>
      <w:r w:rsidRPr="003B02C9">
        <w:t>.</w:t>
      </w:r>
      <w:r>
        <w:t xml:space="preserve"> This is feasible from RAN1 perspective. </w:t>
      </w:r>
    </w:p>
    <w:p w14:paraId="33C55FA1" w14:textId="1495E959" w:rsidR="007E6D7D" w:rsidRDefault="007E6D7D" w:rsidP="00966E10">
      <w:pPr>
        <w:jc w:val="both"/>
      </w:pPr>
      <w:r>
        <w:fldChar w:fldCharType="begin"/>
      </w:r>
      <w:r>
        <w:instrText xml:space="preserve"> REF _Ref506301777 \h </w:instrText>
      </w:r>
      <w:r>
        <w:fldChar w:fldCharType="separate"/>
      </w:r>
      <w:r w:rsidR="00306F91">
        <w:t xml:space="preserve">Figure </w:t>
      </w:r>
      <w:r w:rsidR="00306F91">
        <w:rPr>
          <w:noProof/>
        </w:rPr>
        <w:t>1</w:t>
      </w:r>
      <w:r>
        <w:fldChar w:fldCharType="end"/>
      </w:r>
      <w:r>
        <w:t xml:space="preserve"> gives a typical example </w:t>
      </w:r>
      <w:r w:rsidR="008765DE">
        <w:t>of how</w:t>
      </w:r>
      <w:r>
        <w:t xml:space="preserve"> an eNB maps the NSSS logical antenna port to two physical antenna ports and alternates between two transmit diversity configurations. To optimize the measured NRSRP in this configuration </w:t>
      </w:r>
      <w:r w:rsidR="008765DE">
        <w:t xml:space="preserve">a UE should measure on at least two consecutive NSSS transmissions. </w:t>
      </w:r>
    </w:p>
    <w:p w14:paraId="43D9C1F8" w14:textId="77777777" w:rsidR="007E6D7D" w:rsidRDefault="007E6D7D" w:rsidP="007E6D7D">
      <w:pPr>
        <w:pStyle w:val="BodyText"/>
        <w:keepNext/>
        <w:jc w:val="both"/>
      </w:pPr>
      <w:r>
        <w:object w:dxaOrig="9472" w:dyaOrig="4611" w14:anchorId="5C62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20.4pt" o:ole="">
            <v:imagedata r:id="rId8" o:title=""/>
          </v:shape>
          <o:OLEObject Type="Embed" ProgID="Visio.Drawing.15" ShapeID="_x0000_i1025" DrawAspect="Content" ObjectID="_1580279547" r:id="rId9"/>
        </w:object>
      </w:r>
    </w:p>
    <w:p w14:paraId="13F3249B" w14:textId="6F9F1EE5" w:rsidR="007E6D7D" w:rsidRDefault="007E6D7D" w:rsidP="007E6D7D">
      <w:pPr>
        <w:pStyle w:val="Caption"/>
        <w:jc w:val="both"/>
        <w:rPr>
          <w:rStyle w:val="IvDbodytextChar"/>
        </w:rPr>
      </w:pPr>
      <w:bookmarkStart w:id="2" w:name="_Ref506301777"/>
      <w:r>
        <w:t xml:space="preserve">Figure </w:t>
      </w:r>
      <w:r>
        <w:fldChar w:fldCharType="begin"/>
      </w:r>
      <w:r>
        <w:instrText xml:space="preserve"> SEQ Figure \* ARABIC </w:instrText>
      </w:r>
      <w:r>
        <w:fldChar w:fldCharType="separate"/>
      </w:r>
      <w:r w:rsidR="00306F91">
        <w:rPr>
          <w:noProof/>
        </w:rPr>
        <w:t>1</w:t>
      </w:r>
      <w:r>
        <w:rPr>
          <w:noProof/>
        </w:rPr>
        <w:fldChar w:fldCharType="end"/>
      </w:r>
      <w:bookmarkEnd w:id="2"/>
      <w:r>
        <w:t xml:space="preserve"> Exemplified NSSS transmit diversity scheme with UE sampling every instance of the transmitted signal.</w:t>
      </w:r>
    </w:p>
    <w:p w14:paraId="790F2D24" w14:textId="77777777" w:rsidR="007E6D7D" w:rsidRPr="00306F91" w:rsidRDefault="007E6D7D" w:rsidP="00966E10">
      <w:pPr>
        <w:jc w:val="both"/>
        <w:rPr>
          <w:lang w:val="en-GB"/>
        </w:rPr>
      </w:pPr>
    </w:p>
    <w:p w14:paraId="7CF52C99" w14:textId="288EA97E" w:rsidR="003B02C9" w:rsidRPr="00C612EB" w:rsidRDefault="003B02C9" w:rsidP="00306F91">
      <w:pPr>
        <w:pStyle w:val="Proposal"/>
        <w:numPr>
          <w:ilvl w:val="0"/>
          <w:numId w:val="37"/>
        </w:numPr>
        <w:tabs>
          <w:tab w:val="clear" w:pos="1304"/>
        </w:tabs>
        <w:ind w:left="1701" w:hanging="1701"/>
        <w:jc w:val="both"/>
      </w:pPr>
      <w:r>
        <w:t xml:space="preserve">Inform RAN4 that from RAN1 perspective, it is feasible to provide UE information of how to conduct the measurement </w:t>
      </w:r>
      <w:r w:rsidR="00966E10">
        <w:t xml:space="preserve">when NSSS is configured to be used for RRM measurements, e.g., </w:t>
      </w:r>
      <w:r w:rsidR="00966E10" w:rsidRPr="003B02C9">
        <w:t xml:space="preserve">conveyed </w:t>
      </w:r>
      <w:r w:rsidR="00966E10">
        <w:t xml:space="preserve">the information </w:t>
      </w:r>
      <w:r w:rsidR="00966E10" w:rsidRPr="003B02C9">
        <w:t xml:space="preserve">to the UE via </w:t>
      </w:r>
      <w:r w:rsidR="00430832">
        <w:t>RRC signaling</w:t>
      </w:r>
      <w:r w:rsidR="00966E10">
        <w:t>.</w:t>
      </w:r>
    </w:p>
    <w:p w14:paraId="256A330B" w14:textId="3DCB376B" w:rsidR="00430832" w:rsidRDefault="00430832" w:rsidP="00430832">
      <w:pPr>
        <w:pStyle w:val="Heading2"/>
      </w:pPr>
      <w:r>
        <w:t>Enhanced NRSRQ measurements</w:t>
      </w:r>
    </w:p>
    <w:p w14:paraId="1559DF00" w14:textId="4D9291C9" w:rsidR="00AF3459" w:rsidRPr="007179C2" w:rsidRDefault="008765DE" w:rsidP="00AF3459">
      <w:pPr>
        <w:keepNext/>
        <w:keepLines/>
        <w:spacing w:before="60" w:after="180" w:line="240" w:lineRule="auto"/>
        <w:rPr>
          <w:rFonts w:ascii="Arial" w:eastAsia="Times New Roman" w:hAnsi="Arial" w:cs="Times New Roman"/>
          <w:b/>
          <w:sz w:val="20"/>
          <w:szCs w:val="20"/>
          <w:lang w:val="en-GB"/>
        </w:rPr>
      </w:pPr>
      <w:r w:rsidRPr="00306F91">
        <w:rPr>
          <w:rFonts w:ascii="Arial" w:eastAsia="Times New Roman" w:hAnsi="Arial" w:cs="Times New Roman"/>
          <w:sz w:val="20"/>
          <w:szCs w:val="20"/>
          <w:lang w:val="en-GB"/>
        </w:rPr>
        <w:t>The opportunity to improve NRSRP</w:t>
      </w:r>
      <w:r>
        <w:rPr>
          <w:rFonts w:ascii="Arial" w:eastAsia="Times New Roman" w:hAnsi="Arial" w:cs="Times New Roman"/>
          <w:sz w:val="20"/>
          <w:szCs w:val="20"/>
          <w:lang w:val="en-GB"/>
        </w:rPr>
        <w:t xml:space="preserve"> by means of measuring on the NSSS should also be exploited to improve </w:t>
      </w:r>
      <w:r w:rsidR="00AF3459">
        <w:rPr>
          <w:rFonts w:ascii="Arial" w:eastAsia="Times New Roman" w:hAnsi="Arial" w:cs="Times New Roman"/>
          <w:sz w:val="20"/>
          <w:szCs w:val="20"/>
          <w:lang w:val="en-GB"/>
        </w:rPr>
        <w:t xml:space="preserve">the NRSRQ measurements. </w:t>
      </w:r>
      <w:r w:rsidR="00AF3459">
        <w:rPr>
          <w:lang w:val="en-GB"/>
        </w:rPr>
        <w:t>Currently, we have the following definition for NRSRQ:</w:t>
      </w:r>
    </w:p>
    <w:p w14:paraId="33CCB08F" w14:textId="0B582FBE" w:rsidR="00AF3459" w:rsidRDefault="00AF3459" w:rsidP="00AF3459">
      <w:pPr>
        <w:pStyle w:val="Caption"/>
        <w:keepNext/>
      </w:pPr>
      <w:bookmarkStart w:id="3" w:name="_Ref506303302"/>
      <w:r>
        <w:t xml:space="preserve">Table </w:t>
      </w:r>
      <w:r>
        <w:fldChar w:fldCharType="begin"/>
      </w:r>
      <w:r>
        <w:instrText xml:space="preserve"> SEQ Table \* ARABIC </w:instrText>
      </w:r>
      <w:r>
        <w:fldChar w:fldCharType="separate"/>
      </w:r>
      <w:r w:rsidR="00306F91">
        <w:rPr>
          <w:noProof/>
        </w:rPr>
        <w:t>2</w:t>
      </w:r>
      <w:r>
        <w:fldChar w:fldCharType="end"/>
      </w:r>
      <w:bookmarkEnd w:id="3"/>
      <w:r>
        <w:t xml:space="preserve"> TS 36.214 NRSRQ definition.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30832" w:rsidRPr="007179C2" w14:paraId="16986F05" w14:textId="77777777" w:rsidTr="007E6D7D">
        <w:trPr>
          <w:cantSplit/>
        </w:trPr>
        <w:tc>
          <w:tcPr>
            <w:tcW w:w="1951" w:type="dxa"/>
          </w:tcPr>
          <w:p w14:paraId="71CDE5F2" w14:textId="77777777" w:rsidR="00430832" w:rsidRPr="007179C2" w:rsidRDefault="00430832" w:rsidP="007E6D7D">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Definition</w:t>
            </w:r>
          </w:p>
        </w:tc>
        <w:tc>
          <w:tcPr>
            <w:tcW w:w="7787" w:type="dxa"/>
          </w:tcPr>
          <w:p w14:paraId="02FB57C0" w14:textId="77777777" w:rsidR="00430832" w:rsidRPr="00C30571" w:rsidRDefault="00430832" w:rsidP="007E6D7D">
            <w:pPr>
              <w:keepNext/>
              <w:keepLines/>
              <w:spacing w:after="0" w:line="240" w:lineRule="auto"/>
              <w:rPr>
                <w:rFonts w:ascii="Arial" w:eastAsia="Times New Roman" w:hAnsi="Arial" w:cs="Times New Roman"/>
                <w:sz w:val="18"/>
                <w:szCs w:val="20"/>
                <w:u w:val="single"/>
                <w:lang w:val="en-GB"/>
              </w:rPr>
            </w:pPr>
            <w:r w:rsidRPr="007179C2">
              <w:rPr>
                <w:rFonts w:ascii="Arial" w:eastAsia="Times New Roman" w:hAnsi="Arial" w:cs="Times New Roman"/>
                <w:sz w:val="18"/>
                <w:szCs w:val="20"/>
                <w:lang w:val="en-GB"/>
              </w:rPr>
              <w:t xml:space="preserve">Narrowband Reference Signal Received Quality (NRSRQ) is defined as the ratio </w:t>
            </w:r>
            <w:r w:rsidRPr="007179C2">
              <w:rPr>
                <w:rFonts w:ascii="Arial" w:eastAsia="Times New Roman" w:hAnsi="Arial" w:cs="Arial"/>
                <w:sz w:val="18"/>
                <w:szCs w:val="20"/>
                <w:lang w:val="en-GB"/>
              </w:rPr>
              <w:t>N</w:t>
            </w:r>
            <w:r w:rsidRPr="007179C2">
              <w:rPr>
                <w:rFonts w:ascii="Arial" w:eastAsia="Times New Roman" w:hAnsi="Arial" w:cs="Times New Roman"/>
                <w:sz w:val="18"/>
                <w:szCs w:val="20"/>
                <w:lang w:val="en-GB"/>
              </w:rPr>
              <w:t xml:space="preserve">RSRP/NRSSI. </w:t>
            </w:r>
            <w:r w:rsidRPr="00C30571">
              <w:rPr>
                <w:rFonts w:ascii="Arial" w:eastAsia="Times New Roman" w:hAnsi="Arial" w:cs="Times New Roman"/>
                <w:sz w:val="18"/>
                <w:szCs w:val="20"/>
                <w:u w:val="single"/>
                <w:lang w:val="en-GB"/>
              </w:rPr>
              <w:t>The measurements in the numerator and denominator shall be made over the same set of resource blocks.</w:t>
            </w:r>
          </w:p>
          <w:p w14:paraId="7F620456"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6E4D6229"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Narrowband Received Signal Strength Indicator (NRSSI), comprises the </w:t>
            </w:r>
            <w:r w:rsidRPr="007179C2">
              <w:rPr>
                <w:rFonts w:ascii="Arial" w:eastAsia="Times New Roman" w:hAnsi="Arial" w:cs="Times New Roman"/>
                <w:sz w:val="18"/>
                <w:szCs w:val="20"/>
              </w:rPr>
              <w:t xml:space="preserve">linear average of the </w:t>
            </w:r>
            <w:r w:rsidRPr="007179C2">
              <w:rPr>
                <w:rFonts w:ascii="Arial" w:eastAsia="Times New Roman" w:hAnsi="Arial" w:cs="Times New Roman"/>
                <w:sz w:val="18"/>
                <w:szCs w:val="20"/>
                <w:lang w:val="en-GB"/>
              </w:rPr>
              <w:t xml:space="preserve">total received power </w:t>
            </w:r>
            <w:r w:rsidRPr="007179C2">
              <w:rPr>
                <w:rFonts w:ascii="Arial" w:eastAsia="Times New Roman" w:hAnsi="Arial" w:cs="Times New Roman"/>
                <w:sz w:val="18"/>
                <w:szCs w:val="20"/>
              </w:rPr>
              <w:t xml:space="preserve">(in [W]) </w:t>
            </w:r>
            <w:r w:rsidRPr="007179C2">
              <w:rPr>
                <w:rFonts w:ascii="Arial" w:eastAsia="Times New Roman" w:hAnsi="Arial" w:cs="Times New Roman"/>
                <w:sz w:val="18"/>
                <w:szCs w:val="20"/>
                <w:lang w:val="en-GB"/>
              </w:rPr>
              <w:t xml:space="preserve">observed </w:t>
            </w:r>
            <w:r w:rsidRPr="007179C2">
              <w:rPr>
                <w:rFonts w:ascii="Arial" w:eastAsia="Times New Roman" w:hAnsi="Arial" w:cs="Times New Roman"/>
                <w:sz w:val="18"/>
                <w:szCs w:val="20"/>
              </w:rPr>
              <w:t xml:space="preserve">OFDM symbols of measurement subframes, </w:t>
            </w:r>
            <w:r w:rsidRPr="007179C2">
              <w:rPr>
                <w:rFonts w:ascii="Arial" w:eastAsia="Times New Roman" w:hAnsi="Arial" w:cs="Times New Roman"/>
                <w:sz w:val="18"/>
                <w:szCs w:val="20"/>
                <w:lang w:val="en-GB"/>
              </w:rPr>
              <w:t xml:space="preserve">in the measurement bandwidth by the UE from all sources, including co-channel serving and non-serving cells, adjacent channel interference, thermal noise etc. </w:t>
            </w:r>
          </w:p>
          <w:p w14:paraId="29BBA6AC"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1EF5DDFE"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NRSSI is measured from all OFDM symbols of measurement subframes. </w:t>
            </w:r>
          </w:p>
          <w:p w14:paraId="59521404"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3CD6C6E1"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The reference point for the N</w:t>
            </w:r>
            <w:r w:rsidRPr="007179C2">
              <w:rPr>
                <w:rFonts w:ascii="Arial" w:eastAsia="Times New Roman" w:hAnsi="Arial" w:cs="Times New Roman" w:hint="eastAsia"/>
                <w:sz w:val="18"/>
                <w:szCs w:val="20"/>
                <w:lang w:val="en-GB"/>
              </w:rPr>
              <w:t>RSRQ</w:t>
            </w:r>
            <w:r w:rsidRPr="007179C2">
              <w:rPr>
                <w:rFonts w:ascii="Arial" w:eastAsia="Times New Roman" w:hAnsi="Arial" w:cs="Times New Roman"/>
                <w:sz w:val="18"/>
                <w:szCs w:val="20"/>
                <w:lang w:val="en-GB"/>
              </w:rPr>
              <w:t xml:space="preserve"> shall be the antenna connector of the UE.</w:t>
            </w:r>
          </w:p>
        </w:tc>
      </w:tr>
      <w:tr w:rsidR="00430832" w:rsidRPr="007179C2" w14:paraId="51CF15FA" w14:textId="77777777" w:rsidTr="007E6D7D">
        <w:trPr>
          <w:cantSplit/>
        </w:trPr>
        <w:tc>
          <w:tcPr>
            <w:tcW w:w="1951" w:type="dxa"/>
          </w:tcPr>
          <w:p w14:paraId="70E7DF04" w14:textId="77777777" w:rsidR="00430832" w:rsidRPr="007179C2" w:rsidRDefault="00430832" w:rsidP="007E6D7D">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Applicable for</w:t>
            </w:r>
          </w:p>
        </w:tc>
        <w:tc>
          <w:tcPr>
            <w:tcW w:w="7787" w:type="dxa"/>
          </w:tcPr>
          <w:p w14:paraId="0A63923E" w14:textId="77777777" w:rsidR="00430832" w:rsidRPr="007179C2" w:rsidRDefault="00430832" w:rsidP="007E6D7D">
            <w:pPr>
              <w:keepNext/>
              <w:keepLines/>
              <w:spacing w:after="0" w:line="240" w:lineRule="auto"/>
              <w:rPr>
                <w:rFonts w:ascii="Arial" w:eastAsia="Times New Roman" w:hAnsi="Arial" w:cs="Arial"/>
                <w:sz w:val="18"/>
                <w:szCs w:val="18"/>
                <w:lang w:val="en-GB"/>
              </w:rPr>
            </w:pPr>
            <w:r w:rsidRPr="007179C2">
              <w:rPr>
                <w:rFonts w:ascii="Arial" w:eastAsia="Times New Roman" w:hAnsi="Arial" w:cs="Arial"/>
                <w:sz w:val="18"/>
                <w:szCs w:val="18"/>
                <w:lang w:val="en-GB"/>
              </w:rPr>
              <w:t xml:space="preserve">RRC_IDLE intra-frequency, </w:t>
            </w:r>
          </w:p>
          <w:p w14:paraId="28EE1CAE"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18"/>
                <w:lang w:val="en-GB"/>
              </w:rPr>
              <w:t>RRC_IDLE inter-frequency</w:t>
            </w:r>
          </w:p>
        </w:tc>
      </w:tr>
    </w:tbl>
    <w:p w14:paraId="108AFEB3" w14:textId="77777777" w:rsidR="00430832" w:rsidRDefault="00430832" w:rsidP="00430832">
      <w:pPr>
        <w:rPr>
          <w:lang w:val="en-GB"/>
        </w:rPr>
      </w:pPr>
    </w:p>
    <w:p w14:paraId="57F0B84C" w14:textId="7D41102B" w:rsidR="009E0DB6" w:rsidRDefault="009E0DB6" w:rsidP="009E0DB6">
      <w:pPr>
        <w:rPr>
          <w:rFonts w:ascii="Arial" w:hAnsi="Arial" w:cs="Arial"/>
          <w:sz w:val="20"/>
          <w:lang w:val="en-GB"/>
        </w:rPr>
      </w:pPr>
      <w:r>
        <w:rPr>
          <w:lang w:val="en-GB"/>
        </w:rPr>
        <w:t xml:space="preserve">In short this means that </w:t>
      </w:r>
      <w:r>
        <w:rPr>
          <w:rFonts w:ascii="Arial" w:hAnsi="Arial" w:cs="Arial"/>
          <w:sz w:val="20"/>
          <w:lang w:val="en-GB"/>
        </w:rPr>
        <w:t xml:space="preserve">NRSRQ is defined by NRSRP divided by NRSSI. NRSP is defined as the NRS power on a single resource element while NRSSI is defined as the average power of a full OFDM symbol, measured </w:t>
      </w:r>
      <w:r w:rsidR="004D1319">
        <w:rPr>
          <w:rFonts w:ascii="Arial" w:hAnsi="Arial" w:cs="Arial"/>
          <w:sz w:val="20"/>
          <w:lang w:val="en-GB"/>
        </w:rPr>
        <w:t>on</w:t>
      </w:r>
      <w:r>
        <w:rPr>
          <w:rFonts w:ascii="Arial" w:hAnsi="Arial" w:cs="Arial"/>
          <w:sz w:val="20"/>
          <w:lang w:val="en-GB"/>
        </w:rPr>
        <w:t xml:space="preserve"> average over a full subframe. This gives </w:t>
      </w:r>
      <w:r w:rsidR="005A3EEE">
        <w:rPr>
          <w:rFonts w:ascii="Arial" w:hAnsi="Arial" w:cs="Arial"/>
          <w:sz w:val="20"/>
          <w:lang w:val="en-GB"/>
        </w:rPr>
        <w:t xml:space="preserve">NRSSI, and </w:t>
      </w:r>
      <w:r>
        <w:rPr>
          <w:rFonts w:ascii="Arial" w:hAnsi="Arial" w:cs="Arial"/>
          <w:sz w:val="20"/>
          <w:lang w:val="en-GB"/>
        </w:rPr>
        <w:t>NRSRQ</w:t>
      </w:r>
      <w:r w:rsidR="005A3EEE">
        <w:rPr>
          <w:rFonts w:ascii="Arial" w:hAnsi="Arial" w:cs="Arial"/>
          <w:sz w:val="20"/>
          <w:lang w:val="en-GB"/>
        </w:rPr>
        <w:t>,</w:t>
      </w:r>
      <w:r>
        <w:rPr>
          <w:rFonts w:ascii="Arial" w:hAnsi="Arial" w:cs="Arial"/>
          <w:sz w:val="20"/>
          <w:lang w:val="en-GB"/>
        </w:rPr>
        <w:t xml:space="preserve"> an unfortunate dependency </w:t>
      </w:r>
      <w:r>
        <w:rPr>
          <w:rFonts w:ascii="Arial" w:hAnsi="Arial" w:cs="Arial"/>
          <w:sz w:val="20"/>
          <w:lang w:val="en-GB"/>
        </w:rPr>
        <w:lastRenderedPageBreak/>
        <w:t xml:space="preserve">on the load in the own cell. </w:t>
      </w:r>
      <w:r w:rsidR="00CF13C7">
        <w:rPr>
          <w:rFonts w:ascii="Arial" w:hAnsi="Arial" w:cs="Arial"/>
          <w:sz w:val="20"/>
          <w:lang w:val="en-GB"/>
        </w:rPr>
        <w:fldChar w:fldCharType="begin"/>
      </w:r>
      <w:r w:rsidR="00CF13C7">
        <w:rPr>
          <w:rFonts w:ascii="Arial" w:hAnsi="Arial" w:cs="Arial"/>
          <w:sz w:val="20"/>
          <w:lang w:val="en-GB"/>
        </w:rPr>
        <w:instrText xml:space="preserve"> REF _Ref506302838 \h </w:instrText>
      </w:r>
      <w:r w:rsidR="00CF13C7">
        <w:rPr>
          <w:rFonts w:ascii="Arial" w:hAnsi="Arial" w:cs="Arial"/>
          <w:sz w:val="20"/>
          <w:lang w:val="en-GB"/>
        </w:rPr>
      </w:r>
      <w:r w:rsidR="00CF13C7">
        <w:rPr>
          <w:rFonts w:ascii="Arial" w:hAnsi="Arial" w:cs="Arial"/>
          <w:sz w:val="20"/>
          <w:lang w:val="en-GB"/>
        </w:rPr>
        <w:fldChar w:fldCharType="separate"/>
      </w:r>
      <w:r w:rsidR="00306F91">
        <w:t xml:space="preserve">Figure </w:t>
      </w:r>
      <w:r w:rsidR="00306F91">
        <w:rPr>
          <w:noProof/>
        </w:rPr>
        <w:t>2</w:t>
      </w:r>
      <w:r w:rsidR="00CF13C7">
        <w:rPr>
          <w:rFonts w:ascii="Arial" w:hAnsi="Arial" w:cs="Arial"/>
          <w:sz w:val="20"/>
          <w:lang w:val="en-GB"/>
        </w:rPr>
        <w:fldChar w:fldCharType="end"/>
      </w:r>
      <w:r w:rsidR="00CF13C7">
        <w:rPr>
          <w:rFonts w:ascii="Arial" w:hAnsi="Arial" w:cs="Arial"/>
          <w:sz w:val="20"/>
          <w:lang w:val="en-GB"/>
        </w:rPr>
        <w:t xml:space="preserve"> illustrates the NRSRQ relation to SINR under the two extreme situations of a fully loaded system and a system with no load.</w:t>
      </w:r>
    </w:p>
    <w:p w14:paraId="5AFBADE3" w14:textId="7DC9E649" w:rsidR="009E0DB6" w:rsidRDefault="009E0DB6" w:rsidP="009E0DB6">
      <w:pPr>
        <w:rPr>
          <w:rFonts w:ascii="Arial" w:hAnsi="Arial" w:cs="Arial"/>
          <w:sz w:val="20"/>
          <w:lang w:val="en-GB"/>
        </w:rPr>
      </w:pPr>
      <w:r>
        <w:rPr>
          <w:rFonts w:ascii="Arial" w:hAnsi="Arial" w:cs="Arial"/>
          <w:noProof/>
          <w:sz w:val="20"/>
          <w:lang w:val="en-GB"/>
        </w:rPr>
        <w:drawing>
          <wp:inline distT="0" distB="0" distL="0" distR="0" wp14:anchorId="45947488" wp14:editId="207F2B94">
            <wp:extent cx="5943600" cy="4462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1#92_NRSRQ_SINR_Full_No_load_1NRSport.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4462780"/>
                    </a:xfrm>
                    <a:prstGeom prst="rect">
                      <a:avLst/>
                    </a:prstGeom>
                  </pic:spPr>
                </pic:pic>
              </a:graphicData>
            </a:graphic>
          </wp:inline>
        </w:drawing>
      </w:r>
    </w:p>
    <w:p w14:paraId="2C5B9FFC" w14:textId="348C2094" w:rsidR="009E0DB6" w:rsidRPr="0063763D" w:rsidRDefault="009E0DB6" w:rsidP="009E0DB6">
      <w:pPr>
        <w:pStyle w:val="Caption"/>
        <w:rPr>
          <w:rFonts w:ascii="Arial" w:hAnsi="Arial" w:cs="Arial"/>
          <w:sz w:val="20"/>
          <w:lang w:val="en-GB"/>
        </w:rPr>
      </w:pPr>
      <w:bookmarkStart w:id="4" w:name="_Ref506302838"/>
      <w:r>
        <w:t xml:space="preserve">Figure </w:t>
      </w:r>
      <w:r>
        <w:fldChar w:fldCharType="begin"/>
      </w:r>
      <w:r>
        <w:instrText xml:space="preserve"> SEQ Figure \* ARABIC </w:instrText>
      </w:r>
      <w:r>
        <w:fldChar w:fldCharType="separate"/>
      </w:r>
      <w:r w:rsidR="00306F91">
        <w:rPr>
          <w:noProof/>
        </w:rPr>
        <w:t>2</w:t>
      </w:r>
      <w:r>
        <w:rPr>
          <w:noProof/>
        </w:rPr>
        <w:fldChar w:fldCharType="end"/>
      </w:r>
      <w:bookmarkEnd w:id="4"/>
      <w:r>
        <w:t xml:space="preserve"> SINR-NRSRQ relation depicted in a full load, and a no-load scenario.</w:t>
      </w:r>
    </w:p>
    <w:p w14:paraId="49F281DE" w14:textId="2466847B" w:rsidR="005A3EEE" w:rsidRDefault="005A3EEE" w:rsidP="005A3EEE">
      <w:pPr>
        <w:rPr>
          <w:rFonts w:ascii="Arial" w:hAnsi="Arial" w:cs="Arial"/>
          <w:sz w:val="20"/>
          <w:lang w:val="en-GB"/>
        </w:rPr>
      </w:pPr>
      <w:r>
        <w:rPr>
          <w:rFonts w:ascii="Arial" w:hAnsi="Arial" w:cs="Arial"/>
          <w:sz w:val="20"/>
          <w:lang w:val="en-GB"/>
        </w:rPr>
        <w:t>Ideally, we want NRSRQ to be as closely coupled to the SINR in the system as possible, which implies that NRSRQ measured when the load in the own system is low is optimal. This then implies that a UE should not measure NRSSI on subframes 0, 5 and (every 2</w:t>
      </w:r>
      <w:r w:rsidRPr="00306F91">
        <w:rPr>
          <w:rFonts w:ascii="Arial" w:hAnsi="Arial" w:cs="Arial"/>
          <w:sz w:val="20"/>
          <w:vertAlign w:val="superscript"/>
          <w:lang w:val="en-GB"/>
        </w:rPr>
        <w:t>nd</w:t>
      </w:r>
      <w:r>
        <w:rPr>
          <w:rFonts w:ascii="Arial" w:hAnsi="Arial" w:cs="Arial"/>
          <w:sz w:val="20"/>
          <w:lang w:val="en-GB"/>
        </w:rPr>
        <w:t>) that carries NPSS, NSSS or NPBCH since in those subframes 11 out of 14 OFDM symbols are always fully loaded.</w:t>
      </w:r>
    </w:p>
    <w:p w14:paraId="34114A15" w14:textId="36C52E84" w:rsidR="005A3EEE" w:rsidRPr="00C612EB" w:rsidRDefault="005A3EEE" w:rsidP="005A3EEE">
      <w:pPr>
        <w:pStyle w:val="Observation"/>
        <w:numPr>
          <w:ilvl w:val="0"/>
          <w:numId w:val="38"/>
        </w:numPr>
        <w:ind w:left="1701" w:hanging="1701"/>
      </w:pPr>
      <w:r>
        <w:rPr>
          <w:rFonts w:ascii="Arial" w:hAnsi="Arial" w:cs="Arial"/>
          <w:sz w:val="20"/>
          <w:lang w:val="en-GB"/>
        </w:rPr>
        <w:t>A UE should refrain from measuring NRSSI on subframes 0, 5 and (every 2</w:t>
      </w:r>
      <w:r w:rsidRPr="00C30571">
        <w:rPr>
          <w:rFonts w:ascii="Arial" w:hAnsi="Arial" w:cs="Arial"/>
          <w:sz w:val="20"/>
          <w:vertAlign w:val="superscript"/>
          <w:lang w:val="en-GB"/>
        </w:rPr>
        <w:t>nd</w:t>
      </w:r>
      <w:r>
        <w:rPr>
          <w:rFonts w:ascii="Arial" w:hAnsi="Arial" w:cs="Arial"/>
          <w:sz w:val="20"/>
          <w:lang w:val="en-GB"/>
        </w:rPr>
        <w:t xml:space="preserve">) that carries NPSS, NSSS or NPBCH to optimize the coupling between SINR to NRSRQ. </w:t>
      </w:r>
    </w:p>
    <w:p w14:paraId="22E2F2E9" w14:textId="4AFA3790" w:rsidR="00D73A11" w:rsidRDefault="005D31C4" w:rsidP="00FA43EC">
      <w:pPr>
        <w:jc w:val="both"/>
        <w:rPr>
          <w:lang w:val="en-GB"/>
        </w:rPr>
      </w:pPr>
      <w:r>
        <w:rPr>
          <w:rFonts w:ascii="Arial" w:hAnsi="Arial" w:cs="Arial"/>
          <w:sz w:val="20"/>
        </w:rPr>
        <w:t xml:space="preserve">Also </w:t>
      </w:r>
      <w:r>
        <w:rPr>
          <w:lang w:val="en-GB"/>
        </w:rPr>
        <w:t>n</w:t>
      </w:r>
      <w:r w:rsidR="00D33C2D">
        <w:rPr>
          <w:lang w:val="en-GB"/>
        </w:rPr>
        <w:t xml:space="preserve">otice that the current NRSRQ measurement </w:t>
      </w:r>
      <w:r w:rsidR="009E0DB6">
        <w:rPr>
          <w:lang w:val="en-GB"/>
        </w:rPr>
        <w:t>implies that</w:t>
      </w:r>
      <w:r w:rsidR="00D33C2D">
        <w:rPr>
          <w:lang w:val="en-GB"/>
        </w:rPr>
        <w:t xml:space="preserve"> that the </w:t>
      </w:r>
      <w:r w:rsidR="00D33C2D" w:rsidRPr="00306F91">
        <w:rPr>
          <w:lang w:val="en-GB"/>
        </w:rPr>
        <w:t xml:space="preserve">NRSSI should be performed on the same </w:t>
      </w:r>
      <w:r w:rsidR="009E0DB6">
        <w:rPr>
          <w:lang w:val="en-GB"/>
        </w:rPr>
        <w:t xml:space="preserve">radio </w:t>
      </w:r>
      <w:r w:rsidR="00D33C2D" w:rsidRPr="00306F91">
        <w:rPr>
          <w:lang w:val="en-GB"/>
        </w:rPr>
        <w:t>resource as the ones used for NRSRP measurements (</w:t>
      </w:r>
      <w:r>
        <w:rPr>
          <w:lang w:val="en-GB"/>
        </w:rPr>
        <w:t xml:space="preserve">see </w:t>
      </w:r>
      <w:r w:rsidR="00D33C2D" w:rsidRPr="00306F91">
        <w:rPr>
          <w:lang w:val="en-GB"/>
        </w:rPr>
        <w:t>underlined</w:t>
      </w:r>
      <w:r>
        <w:rPr>
          <w:lang w:val="en-GB"/>
        </w:rPr>
        <w:t xml:space="preserve"> sentence</w:t>
      </w:r>
      <w:r w:rsidR="00D33C2D" w:rsidRPr="00306F91">
        <w:rPr>
          <w:lang w:val="en-GB"/>
        </w:rPr>
        <w:t xml:space="preserve"> </w:t>
      </w:r>
      <w:r>
        <w:rPr>
          <w:lang w:val="en-GB"/>
        </w:rPr>
        <w:t xml:space="preserve">in  </w:t>
      </w:r>
      <w:r>
        <w:rPr>
          <w:lang w:val="en-GB"/>
        </w:rPr>
        <w:fldChar w:fldCharType="begin"/>
      </w:r>
      <w:r>
        <w:rPr>
          <w:lang w:val="en-GB"/>
        </w:rPr>
        <w:instrText xml:space="preserve"> REF _Ref506303302 \h </w:instrText>
      </w:r>
      <w:r>
        <w:rPr>
          <w:lang w:val="en-GB"/>
        </w:rPr>
      </w:r>
      <w:r>
        <w:rPr>
          <w:lang w:val="en-GB"/>
        </w:rPr>
        <w:fldChar w:fldCharType="separate"/>
      </w:r>
      <w:r w:rsidR="00306F91">
        <w:t xml:space="preserve">Table </w:t>
      </w:r>
      <w:r w:rsidR="00306F91">
        <w:rPr>
          <w:noProof/>
        </w:rPr>
        <w:t>2</w:t>
      </w:r>
      <w:r>
        <w:rPr>
          <w:lang w:val="en-GB"/>
        </w:rPr>
        <w:fldChar w:fldCharType="end"/>
      </w:r>
      <w:r w:rsidR="00D33C2D" w:rsidRPr="00306F91">
        <w:rPr>
          <w:lang w:val="en-GB"/>
        </w:rPr>
        <w:t xml:space="preserve">). </w:t>
      </w:r>
      <w:r w:rsidR="00FA43EC">
        <w:rPr>
          <w:lang w:val="en-GB"/>
        </w:rPr>
        <w:t>But as just observed, basing the NRSSI measurements on subframes (in your serving cell) that carries NPSS, NSSS or NPBCH will negatively influence the coupling between NRSRQ and SINR.</w:t>
      </w:r>
      <w:r w:rsidR="00D73A11">
        <w:rPr>
          <w:lang w:val="en-GB"/>
        </w:rPr>
        <w:t xml:space="preserve"> This is not a desired situation, as the UE needs to evaluate NRSRQ before camping on a cell</w:t>
      </w:r>
      <w:r w:rsidR="00FA43EC">
        <w:rPr>
          <w:lang w:val="en-GB"/>
        </w:rPr>
        <w:t>, and potentially also report the NRSRQ to the camped on cell upon access (depending the outcome of the discussions in</w:t>
      </w:r>
      <w:r w:rsidR="00306F91">
        <w:rPr>
          <w:lang w:val="en-GB"/>
        </w:rPr>
        <w:t xml:space="preserve"> </w:t>
      </w:r>
      <w:r w:rsidR="00306F91">
        <w:rPr>
          <w:lang w:val="en-GB"/>
        </w:rPr>
        <w:fldChar w:fldCharType="begin"/>
      </w:r>
      <w:r w:rsidR="00306F91">
        <w:rPr>
          <w:lang w:val="en-GB"/>
        </w:rPr>
        <w:instrText xml:space="preserve"> REF _Ref506537679 \r \h </w:instrText>
      </w:r>
      <w:r w:rsidR="00306F91">
        <w:rPr>
          <w:lang w:val="en-GB"/>
        </w:rPr>
      </w:r>
      <w:r w:rsidR="00306F91">
        <w:rPr>
          <w:lang w:val="en-GB"/>
        </w:rPr>
        <w:fldChar w:fldCharType="separate"/>
      </w:r>
      <w:r w:rsidR="00306F91">
        <w:rPr>
          <w:lang w:val="en-GB"/>
        </w:rPr>
        <w:t>[5]</w:t>
      </w:r>
      <w:r w:rsidR="00306F91">
        <w:rPr>
          <w:lang w:val="en-GB"/>
        </w:rPr>
        <w:fldChar w:fldCharType="end"/>
      </w:r>
      <w:r w:rsidR="00306F91">
        <w:rPr>
          <w:lang w:val="en-GB"/>
        </w:rPr>
        <w:t>)</w:t>
      </w:r>
      <w:r w:rsidR="00D73A11">
        <w:rPr>
          <w:lang w:val="en-GB"/>
        </w:rPr>
        <w:t xml:space="preserve">. Therefore, it is proposed that </w:t>
      </w:r>
      <w:bookmarkStart w:id="5" w:name="_GoBack"/>
      <w:bookmarkEnd w:id="5"/>
    </w:p>
    <w:p w14:paraId="56A59208" w14:textId="05154C00" w:rsidR="002B5870" w:rsidRPr="00306F91" w:rsidRDefault="00D73A11" w:rsidP="00306F91">
      <w:pPr>
        <w:pStyle w:val="Proposal"/>
        <w:numPr>
          <w:ilvl w:val="0"/>
          <w:numId w:val="37"/>
        </w:numPr>
        <w:tabs>
          <w:tab w:val="clear" w:pos="1304"/>
        </w:tabs>
        <w:ind w:left="1701" w:hanging="1701"/>
        <w:rPr>
          <w:lang w:eastAsia="en-US"/>
        </w:rPr>
      </w:pPr>
      <w:r>
        <w:lastRenderedPageBreak/>
        <w:t>When NSSS is configured and used for the</w:t>
      </w:r>
      <w:r w:rsidR="00B427DA">
        <w:t xml:space="preserve"> NRSRP </w:t>
      </w:r>
      <w:r>
        <w:rPr>
          <w:lang w:val="en-GB"/>
        </w:rPr>
        <w:t>measurements</w:t>
      </w:r>
      <w:r w:rsidR="00B427DA">
        <w:rPr>
          <w:lang w:val="en-GB"/>
        </w:rPr>
        <w:t xml:space="preserve"> in a cell intended for camping</w:t>
      </w:r>
      <w:r>
        <w:rPr>
          <w:lang w:val="en-GB"/>
        </w:rPr>
        <w:t>, the NRSSI measurement</w:t>
      </w:r>
      <w:r w:rsidR="00B427DA">
        <w:rPr>
          <w:lang w:val="en-GB"/>
        </w:rPr>
        <w:t xml:space="preserve"> needed to calculate NRSRQ</w:t>
      </w:r>
      <w:r>
        <w:rPr>
          <w:lang w:val="en-GB"/>
        </w:rPr>
        <w:t xml:space="preserve"> should not </w:t>
      </w:r>
      <w:r w:rsidR="00B427DA">
        <w:rPr>
          <w:lang w:val="en-GB"/>
        </w:rPr>
        <w:t>be made on</w:t>
      </w:r>
      <w:r>
        <w:rPr>
          <w:lang w:val="en-GB"/>
        </w:rPr>
        <w:t xml:space="preserve"> subframes contain</w:t>
      </w:r>
      <w:r w:rsidR="00B427DA">
        <w:rPr>
          <w:lang w:val="en-GB"/>
        </w:rPr>
        <w:t>ing</w:t>
      </w:r>
      <w:r>
        <w:rPr>
          <w:lang w:val="en-GB"/>
        </w:rPr>
        <w:t xml:space="preserve"> NSSS, NPSS, and NPBCH</w:t>
      </w:r>
      <w:r w:rsidR="00B427DA">
        <w:rPr>
          <w:lang w:val="en-GB"/>
        </w:rPr>
        <w:t xml:space="preserve"> transmitted from the evaluate cell</w:t>
      </w:r>
      <w:r w:rsidRPr="00C612EB">
        <w:t>.</w:t>
      </w:r>
    </w:p>
    <w:p w14:paraId="3DEFA46A" w14:textId="0EA8074F" w:rsidR="004E1420" w:rsidRDefault="0045224B" w:rsidP="004E1420">
      <w:pPr>
        <w:pStyle w:val="Heading2"/>
      </w:pPr>
      <w:r>
        <w:t>On CRS based measurements</w:t>
      </w:r>
    </w:p>
    <w:p w14:paraId="66CA5852" w14:textId="749114FE" w:rsidR="000072FC" w:rsidRPr="00C612EB" w:rsidRDefault="0045224B" w:rsidP="0045224B">
      <w:pPr>
        <w:pStyle w:val="BodyText"/>
      </w:pPr>
      <w:r w:rsidRPr="00C612EB">
        <w:t xml:space="preserve">In the basic design of NB-IoT Release 13 it was decided </w:t>
      </w:r>
      <w:r w:rsidR="0094385C" w:rsidRPr="00C612EB">
        <w:t>to base</w:t>
      </w:r>
      <w:r w:rsidR="00E6620C" w:rsidRPr="00C612EB">
        <w:t xml:space="preserve"> radio resource management (RRM) measurement on NRS transmissions. </w:t>
      </w:r>
      <w:r w:rsidR="000072FC" w:rsidRPr="00C612EB">
        <w:t>In cased of idle mode</w:t>
      </w:r>
      <w:r w:rsidR="00F4404C" w:rsidRPr="00C612EB">
        <w:t>,</w:t>
      </w:r>
      <w:r w:rsidR="000072FC" w:rsidRPr="00C612EB">
        <w:t xml:space="preserve"> t</w:t>
      </w:r>
      <w:r w:rsidR="00F619FA" w:rsidRPr="00C612EB">
        <w:t>his was</w:t>
      </w:r>
      <w:r w:rsidR="00F4404C" w:rsidRPr="00C612EB">
        <w:t>,</w:t>
      </w:r>
      <w:r w:rsidR="00F619FA" w:rsidRPr="00C612EB">
        <w:t xml:space="preserve"> in our opinion</w:t>
      </w:r>
      <w:r w:rsidR="00F4404C" w:rsidRPr="00C612EB">
        <w:t>,</w:t>
      </w:r>
      <w:r w:rsidR="00F619FA" w:rsidRPr="00C612EB">
        <w:t xml:space="preserve"> an unfortunate decision since the NB-IoT downlink is already carrying a large overhead in terms of NPSS, NSSS and NPBCH </w:t>
      </w:r>
      <w:r w:rsidR="000072FC" w:rsidRPr="00C612EB">
        <w:t xml:space="preserve">transmissions dimensioned to support idle mode operations even in extended coverage. </w:t>
      </w:r>
      <w:r w:rsidR="00306F91" w:rsidRPr="00C612EB">
        <w:t>These transmissions</w:t>
      </w:r>
      <w:r w:rsidR="000072FC" w:rsidRPr="00C612EB">
        <w:t xml:space="preserve"> </w:t>
      </w:r>
      <w:r w:rsidR="006E3786" w:rsidRPr="00C612EB">
        <w:t>were</w:t>
      </w:r>
      <w:r w:rsidR="000072FC" w:rsidRPr="00C612EB">
        <w:t xml:space="preserve"> already in Release 13 valuable candidates for supporting RRM. </w:t>
      </w:r>
    </w:p>
    <w:p w14:paraId="02971CD6" w14:textId="033BF503" w:rsidR="005763EE" w:rsidRPr="00C612EB" w:rsidRDefault="0094385C" w:rsidP="0045224B">
      <w:pPr>
        <w:pStyle w:val="BodyText"/>
      </w:pPr>
      <w:r w:rsidRPr="00C612EB">
        <w:t>Hence,</w:t>
      </w:r>
      <w:r w:rsidR="000072FC" w:rsidRPr="00C612EB">
        <w:t xml:space="preserve"> we would not like to introduce new mandatory</w:t>
      </w:r>
      <w:r w:rsidR="00AD3D5D" w:rsidRPr="00C612EB">
        <w:t xml:space="preserve"> idle mode measurement signal </w:t>
      </w:r>
      <w:r w:rsidR="006E3786" w:rsidRPr="00C612EB">
        <w:t>in the NB-IoT downlink, as this would further increase the requirement on the base station transmitter to be on with negative implications in terms of base station power consumption and downlink interference levels.</w:t>
      </w:r>
      <w:r w:rsidR="00AD3D5D" w:rsidRPr="00C612EB">
        <w:t xml:space="preserve"> It is also unwanted to create strong couplings between NB-IoT and LTE</w:t>
      </w:r>
      <w:r w:rsidR="00EE6900" w:rsidRPr="00C612EB">
        <w:t xml:space="preserve"> as NB-IoT in a few years’ time may be operating within a NR carrier and not within a LTE carrier.</w:t>
      </w:r>
      <w:r w:rsidR="00F4404C" w:rsidRPr="00C612EB">
        <w:t xml:space="preserve"> </w:t>
      </w:r>
    </w:p>
    <w:p w14:paraId="0AC502B4" w14:textId="7910D29B" w:rsidR="0031063B" w:rsidRPr="00C612EB" w:rsidRDefault="0031063B" w:rsidP="0031063B">
      <w:pPr>
        <w:pStyle w:val="Proposal"/>
        <w:numPr>
          <w:ilvl w:val="0"/>
          <w:numId w:val="0"/>
        </w:numPr>
        <w:rPr>
          <w:b w:val="0"/>
        </w:rPr>
      </w:pPr>
      <w:r w:rsidRPr="00C612EB">
        <w:rPr>
          <w:b w:val="0"/>
        </w:rPr>
        <w:t>In case of inband mode with same PCI set in LTE and NB-IoT</w:t>
      </w:r>
      <w:r w:rsidR="00F4404C" w:rsidRPr="00C612EB">
        <w:rPr>
          <w:b w:val="0"/>
        </w:rPr>
        <w:t>,</w:t>
      </w:r>
      <w:r w:rsidRPr="00C612EB">
        <w:rPr>
          <w:b w:val="0"/>
        </w:rPr>
        <w:t xml:space="preserve"> there is already a requirement on the base station transmitter to deliver the CRS. </w:t>
      </w:r>
      <w:r w:rsidR="00F1460F" w:rsidRPr="00C612EB">
        <w:rPr>
          <w:b w:val="0"/>
        </w:rPr>
        <w:t>I</w:t>
      </w:r>
      <w:r w:rsidRPr="00C612EB">
        <w:rPr>
          <w:b w:val="0"/>
        </w:rPr>
        <w:t>n this specific case CRS may be used, if proven beneficial, to measure NRSRP</w:t>
      </w:r>
      <w:r w:rsidR="0094385C" w:rsidRPr="00C612EB">
        <w:rPr>
          <w:b w:val="0"/>
        </w:rPr>
        <w:t>/NRSRQ</w:t>
      </w:r>
      <w:r w:rsidRPr="00C612EB">
        <w:rPr>
          <w:b w:val="0"/>
        </w:rPr>
        <w:t xml:space="preserve"> for connected mode</w:t>
      </w:r>
      <w:r w:rsidR="004133B7" w:rsidRPr="00C612EB">
        <w:rPr>
          <w:b w:val="0"/>
        </w:rPr>
        <w:t xml:space="preserve"> procedures</w:t>
      </w:r>
      <w:r w:rsidRPr="00C612EB">
        <w:rPr>
          <w:b w:val="0"/>
        </w:rPr>
        <w:t>.</w:t>
      </w:r>
      <w:r w:rsidR="00F4404C" w:rsidRPr="00C612EB">
        <w:rPr>
          <w:b w:val="0"/>
        </w:rPr>
        <w:t xml:space="preserve"> However, when there are 4 TX antenna ports at the eNB used for LTE, </w:t>
      </w:r>
      <w:r w:rsidR="00F1460F" w:rsidRPr="00C612EB">
        <w:rPr>
          <w:b w:val="0"/>
        </w:rPr>
        <w:t xml:space="preserve">the CRS cannot be used by the NB-IoT UE. Therefore, there are lots of restrictions to use CRS for idle mode RRM measurement. </w:t>
      </w:r>
    </w:p>
    <w:p w14:paraId="0DB0501D" w14:textId="77777777" w:rsidR="00F1460F" w:rsidRPr="00C612EB" w:rsidRDefault="00F1460F" w:rsidP="00F1460F">
      <w:pPr>
        <w:pStyle w:val="Proposal"/>
        <w:numPr>
          <w:ilvl w:val="0"/>
          <w:numId w:val="37"/>
        </w:numPr>
        <w:tabs>
          <w:tab w:val="clear" w:pos="1304"/>
        </w:tabs>
        <w:ind w:left="1701" w:hanging="1701"/>
      </w:pPr>
      <w:r w:rsidRPr="00C612EB">
        <w:t>CRS is not a candidate for improving NB-IoT idle mode RRM measurements.</w:t>
      </w:r>
    </w:p>
    <w:p w14:paraId="5DAB35B4" w14:textId="315326A2" w:rsidR="00665774" w:rsidRDefault="00665774" w:rsidP="00665774">
      <w:pPr>
        <w:pStyle w:val="Heading2"/>
      </w:pPr>
      <w:r>
        <w:t xml:space="preserve">On </w:t>
      </w:r>
      <w:r w:rsidR="00536084">
        <w:t xml:space="preserve">the use of </w:t>
      </w:r>
      <w:r>
        <w:t>N</w:t>
      </w:r>
      <w:r w:rsidR="00536084">
        <w:t>PBCH, NPDCCH and</w:t>
      </w:r>
      <w:r w:rsidR="00E4546A">
        <w:t xml:space="preserve"> NPDSCH </w:t>
      </w:r>
      <w:r w:rsidR="00536084">
        <w:t xml:space="preserve">for improving connected mode </w:t>
      </w:r>
      <w:r w:rsidR="00E4546A">
        <w:t>measurements</w:t>
      </w:r>
    </w:p>
    <w:p w14:paraId="15717FF6" w14:textId="7DF1B2A2" w:rsidR="00C0102B" w:rsidRPr="00C0102B" w:rsidRDefault="00ED4F50" w:rsidP="00ED4F50">
      <w:pPr>
        <w:pStyle w:val="Heading3"/>
      </w:pPr>
      <w:r>
        <w:t>Connected mode power control tolerance</w:t>
      </w:r>
    </w:p>
    <w:p w14:paraId="53161A34" w14:textId="46EECAE0" w:rsidR="00E4546A" w:rsidRPr="00C612EB" w:rsidRDefault="009E1819" w:rsidP="00E4546A">
      <w:r w:rsidRPr="00C612EB">
        <w:t xml:space="preserve">For connected mode improved measurement accuracy can be expected to </w:t>
      </w:r>
      <w:r w:rsidR="00A1491F" w:rsidRPr="00C612EB">
        <w:t xml:space="preserve">positively influence </w:t>
      </w:r>
      <w:r w:rsidRPr="00C612EB">
        <w:t xml:space="preserve">e.g. the </w:t>
      </w:r>
      <w:r w:rsidR="00DC284E" w:rsidRPr="00C612EB">
        <w:t xml:space="preserve">power control accuracy. </w:t>
      </w:r>
      <w:r w:rsidR="00C0102B" w:rsidRPr="00C612EB">
        <w:t xml:space="preserve">TS 36.101 section 6.3.5.1 specifies an absolute power tolerance of ± 9 dB (under normal conditions), which sets the initial accuracy by which a device configures its output power. In </w:t>
      </w:r>
      <w:r w:rsidR="009A3E87" w:rsidRPr="00C612EB">
        <w:t>addition,</w:t>
      </w:r>
      <w:r w:rsidR="00C0102B" w:rsidRPr="00C612EB">
        <w:t xml:space="preserve"> one needs to consider the aggregated power control tolerance specified in TS 36.101 section 6.3.5F.3 which specifies the ability of the device to maintain the initial selected</w:t>
      </w:r>
      <w:r w:rsidR="009A3E87" w:rsidRPr="00C612EB">
        <w:t xml:space="preserve"> power</w:t>
      </w:r>
      <w:r w:rsidR="00C0102B" w:rsidRPr="00C612EB">
        <w:t xml:space="preserve"> level during a NPUSCH transmission.  The aggregated power control tolerance is set to ± 3.5 dB. This implies that a device may have a power inaccuracy spanning ± 12.5 dB under normal conditions.</w:t>
      </w:r>
    </w:p>
    <w:p w14:paraId="6FDDBA99" w14:textId="71456146" w:rsidR="00ED4F50" w:rsidRPr="00C612EB" w:rsidRDefault="00A27681" w:rsidP="00E4546A">
      <w:r w:rsidRPr="00C612EB">
        <w:t>Such high inaccuracy has several drawbacks e.g. in terms of unpredictable link level performance, loss of orthogonality between subcarriers and reduced device battery life.</w:t>
      </w:r>
      <w:r w:rsidR="008A7A6A" w:rsidRPr="00C612EB">
        <w:t xml:space="preserve"> As the allowed inaccuracy to a large extent can be related to the NRSRP measurement inaccuracy, an improved measurement accuracy will allow a tightened power control tolerance.</w:t>
      </w:r>
    </w:p>
    <w:p w14:paraId="446D4954" w14:textId="05A96DD3" w:rsidR="00A27681" w:rsidRPr="00C0102B" w:rsidRDefault="00A27681" w:rsidP="00A27681">
      <w:pPr>
        <w:pStyle w:val="Heading4"/>
      </w:pPr>
      <w:r>
        <w:lastRenderedPageBreak/>
        <w:t>Impact on subcarrier orthogonality</w:t>
      </w:r>
    </w:p>
    <w:p w14:paraId="6952FE69" w14:textId="77777777" w:rsidR="009048B9" w:rsidRPr="00C612EB" w:rsidRDefault="00A27681" w:rsidP="0045224B">
      <w:pPr>
        <w:pStyle w:val="BodyText"/>
      </w:pPr>
      <w:r w:rsidRPr="00C612EB">
        <w:t xml:space="preserve">The orthogonality between NB-IoT subcarriers are in theory determined by the </w:t>
      </w:r>
      <w:r w:rsidR="008A7A6A" w:rsidRPr="00C612EB">
        <w:t>transmitter F</w:t>
      </w:r>
      <w:r w:rsidRPr="00C612EB">
        <w:t>ourier transformation but are in practice set by the inband spectrum emission requirements</w:t>
      </w:r>
      <w:r w:rsidR="008A7A6A" w:rsidRPr="00C612EB">
        <w:t xml:space="preserve"> as specified in TS 36.101 section 6.5.2F.3</w:t>
      </w:r>
      <w:r w:rsidRPr="00C612EB">
        <w:t xml:space="preserve">. </w:t>
      </w:r>
    </w:p>
    <w:p w14:paraId="2A2A1343" w14:textId="6E82321D" w:rsidR="00AD3D5D" w:rsidRPr="00C612EB" w:rsidRDefault="008A7A6A" w:rsidP="0045224B">
      <w:pPr>
        <w:pStyle w:val="BodyText"/>
      </w:pPr>
      <w:r w:rsidRPr="00C612EB">
        <w:t>Consider two devices which are located next to each other and experiencing the</w:t>
      </w:r>
      <w:r w:rsidR="009048B9" w:rsidRPr="00C612EB">
        <w:t xml:space="preserve"> same</w:t>
      </w:r>
      <w:r w:rsidRPr="00C612EB">
        <w:t xml:space="preserve"> </w:t>
      </w:r>
      <w:r w:rsidR="000546B9" w:rsidRPr="00C612EB">
        <w:t xml:space="preserve">received NRSRP, e.g. the </w:t>
      </w:r>
      <w:r w:rsidRPr="00C612EB">
        <w:t xml:space="preserve">same coupling loss. Ideally their uplink transmission should use the same power, resulting in both </w:t>
      </w:r>
      <w:r w:rsidR="000546B9" w:rsidRPr="00C612EB">
        <w:t xml:space="preserve">transmissions reaching the base station </w:t>
      </w:r>
      <w:r w:rsidR="00A60D68" w:rsidRPr="00C612EB">
        <w:t>at</w:t>
      </w:r>
      <w:r w:rsidR="000546B9" w:rsidRPr="00C612EB">
        <w:t xml:space="preserve"> the same</w:t>
      </w:r>
      <w:r w:rsidR="00A60D68" w:rsidRPr="00C612EB">
        <w:t xml:space="preserve"> receive</w:t>
      </w:r>
      <w:r w:rsidR="000546B9" w:rsidRPr="00C612EB">
        <w:t xml:space="preserve"> power level. However, </w:t>
      </w:r>
      <w:r w:rsidR="00F1460F" w:rsidRPr="00C612EB">
        <w:t xml:space="preserve">in the extreme case, </w:t>
      </w:r>
      <w:r w:rsidR="000546B9" w:rsidRPr="00C612EB">
        <w:t xml:space="preserve">if the first UE underestimates the NRSRP with 12.5 dB while the second UE overestimates the NRSRP with 12.5 dB, then the system need to cope with a power difference of 25 dB between the two devices. </w:t>
      </w:r>
      <w:r w:rsidR="000546B9">
        <w:fldChar w:fldCharType="begin"/>
      </w:r>
      <w:r w:rsidR="000546B9" w:rsidRPr="00C612EB">
        <w:instrText xml:space="preserve"> REF _Ref486413451 \h </w:instrText>
      </w:r>
      <w:r w:rsidR="000546B9">
        <w:fldChar w:fldCharType="separate"/>
      </w:r>
      <w:r w:rsidR="00306F91" w:rsidRPr="00C612EB">
        <w:t xml:space="preserve">Figure </w:t>
      </w:r>
      <w:r w:rsidR="00306F91">
        <w:rPr>
          <w:noProof/>
        </w:rPr>
        <w:t>3</w:t>
      </w:r>
      <w:r w:rsidR="000546B9">
        <w:fldChar w:fldCharType="end"/>
      </w:r>
      <w:r w:rsidR="000546B9" w:rsidRPr="00C612EB">
        <w:t xml:space="preserve"> illustrates this situation </w:t>
      </w:r>
      <w:r w:rsidR="009048B9" w:rsidRPr="00C612EB">
        <w:t xml:space="preserve">for two devices assigned NPUSCH transmissions on subcarriers 4 and 5. </w:t>
      </w:r>
      <w:r w:rsidR="00F1460F" w:rsidRPr="00C612EB">
        <w:t xml:space="preserve">Assuming </w:t>
      </w:r>
      <w:r w:rsidR="000546B9" w:rsidRPr="00C612EB">
        <w:t xml:space="preserve">0 dB is </w:t>
      </w:r>
      <w:r w:rsidR="009048B9" w:rsidRPr="00C612EB">
        <w:t>the ideal configured pow</w:t>
      </w:r>
      <w:r w:rsidR="00F1460F" w:rsidRPr="00C612EB">
        <w:t xml:space="preserve">er, </w:t>
      </w:r>
      <w:r w:rsidR="009048B9" w:rsidRPr="00C612EB">
        <w:t xml:space="preserve">the </w:t>
      </w:r>
      <w:r w:rsidR="00F1460F" w:rsidRPr="00C612EB">
        <w:t xml:space="preserve">two </w:t>
      </w:r>
      <w:r w:rsidR="009048B9" w:rsidRPr="00C612EB">
        <w:t>UEs are 12.5 dB above and 12.5 dB below the ideal level. The NB-IoT inban</w:t>
      </w:r>
      <w:r w:rsidR="00F1460F" w:rsidRPr="00C612EB">
        <w:t>d emission requirements require</w:t>
      </w:r>
      <w:r w:rsidR="009048B9" w:rsidRPr="00C612EB">
        <w:t xml:space="preserve"> </w:t>
      </w:r>
      <w:r w:rsidR="00A60D68" w:rsidRPr="00C612EB">
        <w:t xml:space="preserve">an </w:t>
      </w:r>
      <w:r w:rsidR="009048B9" w:rsidRPr="00C612EB">
        <w:t xml:space="preserve">UE to supress its emission with 18 dBc. The figure clearly shows that this is far from sufficient, as the second UE is 7 dB </w:t>
      </w:r>
      <w:r w:rsidR="00A60D68" w:rsidRPr="00C612EB">
        <w:t xml:space="preserve">below the inband emission </w:t>
      </w:r>
      <w:r w:rsidR="009048B9" w:rsidRPr="00C612EB">
        <w:t>level</w:t>
      </w:r>
      <w:r w:rsidR="00A60D68" w:rsidRPr="00C612EB">
        <w:t xml:space="preserve"> allowed for the first UE</w:t>
      </w:r>
      <w:r w:rsidR="009048B9" w:rsidRPr="00C612EB">
        <w:t xml:space="preserve">. It should be noted that the </w:t>
      </w:r>
      <w:r w:rsidR="00A60D68" w:rsidRPr="00C612EB">
        <w:t xml:space="preserve">inband </w:t>
      </w:r>
      <w:r w:rsidR="009048B9" w:rsidRPr="00C612EB">
        <w:t>emissions shown for UE1 and UE2 are only examples used in this illustration, and not examples</w:t>
      </w:r>
      <w:r w:rsidR="00A60D68" w:rsidRPr="00C612EB">
        <w:t xml:space="preserve"> of expected emission levels</w:t>
      </w:r>
      <w:r w:rsidR="00B355EB" w:rsidRPr="00C612EB">
        <w:t xml:space="preserve"> seen in a real UE implementation</w:t>
      </w:r>
      <w:r w:rsidR="009048B9" w:rsidRPr="00C612EB">
        <w:t>.</w:t>
      </w:r>
    </w:p>
    <w:p w14:paraId="57464985" w14:textId="75282024" w:rsidR="00A60D68" w:rsidRPr="00C612EB" w:rsidRDefault="00B136EB" w:rsidP="0045224B">
      <w:pPr>
        <w:pStyle w:val="BodyText"/>
      </w:pPr>
      <w:r w:rsidRPr="00C612EB">
        <w:t xml:space="preserve">Notice that only open-loop power control is not used by NB-IoT. Therefore, there are only limited tools for the eNB to limit the powers from the UEs, which are not sufficient is this case. </w:t>
      </w:r>
      <w:r w:rsidR="00A60D68" w:rsidRPr="00C612EB">
        <w:t>Based on this it is clear that an improved NRSRP and power control accuracy will improve the orthogonality between adjacent subcarriers and result in an overall more robust system design.</w:t>
      </w:r>
    </w:p>
    <w:p w14:paraId="6DBB7457" w14:textId="768D9213" w:rsidR="009914C1" w:rsidRPr="00C612EB" w:rsidRDefault="009914C1" w:rsidP="009914C1">
      <w:pPr>
        <w:pStyle w:val="Observation"/>
        <w:numPr>
          <w:ilvl w:val="0"/>
          <w:numId w:val="38"/>
        </w:numPr>
        <w:ind w:left="1701" w:hanging="1701"/>
      </w:pPr>
      <w:r w:rsidRPr="00C612EB">
        <w:t xml:space="preserve">Improved </w:t>
      </w:r>
      <w:r w:rsidR="00536084" w:rsidRPr="00C612EB">
        <w:t xml:space="preserve">connected mode </w:t>
      </w:r>
      <w:r w:rsidRPr="00C612EB">
        <w:t>NRSRP and power control accuracy will improve the orthogonality between adjacent subcarriers and result in an overall more robust system design.</w:t>
      </w:r>
    </w:p>
    <w:p w14:paraId="43D8E509" w14:textId="7A904024" w:rsidR="009914C1" w:rsidRPr="00C612EB" w:rsidRDefault="009914C1" w:rsidP="009914C1">
      <w:pPr>
        <w:pStyle w:val="BodyText"/>
      </w:pPr>
      <w:r w:rsidRPr="00C612EB">
        <w:t xml:space="preserve">To secure that UE2 is never below the </w:t>
      </w:r>
      <w:r w:rsidR="00CA2DB3" w:rsidRPr="00C612EB">
        <w:t xml:space="preserve">inband emission levels of UE1 times the sum of the absolute power tolerance and the aggregated power control tolerance should not be allowed to exceed </w:t>
      </w:r>
      <w:r w:rsidR="00CB471D" w:rsidRPr="00C612EB">
        <w:t>9</w:t>
      </w:r>
      <w:r w:rsidR="00CA2DB3" w:rsidRPr="00C612EB">
        <w:t xml:space="preserve"> dB.</w:t>
      </w:r>
    </w:p>
    <w:p w14:paraId="5B1650F3" w14:textId="6C894227" w:rsidR="009914C1" w:rsidRPr="00C612EB" w:rsidRDefault="009914C1" w:rsidP="009914C1">
      <w:pPr>
        <w:pStyle w:val="Proposal"/>
        <w:numPr>
          <w:ilvl w:val="0"/>
          <w:numId w:val="37"/>
        </w:numPr>
        <w:tabs>
          <w:tab w:val="clear" w:pos="1304"/>
        </w:tabs>
        <w:ind w:left="1701" w:hanging="1701"/>
      </w:pPr>
      <w:r w:rsidRPr="00C612EB">
        <w:t xml:space="preserve">RAN1 should strive to </w:t>
      </w:r>
      <w:r w:rsidR="00CA2DB3" w:rsidRPr="00C612EB">
        <w:t>limit</w:t>
      </w:r>
      <w:r w:rsidRPr="00C612EB">
        <w:t xml:space="preserve"> the sum of the absolute </w:t>
      </w:r>
      <w:r w:rsidR="00CA2DB3" w:rsidRPr="00C612EB">
        <w:t>power tolerance and the aggregated power control tolerance to ±9 dB.</w:t>
      </w:r>
    </w:p>
    <w:p w14:paraId="71C17562" w14:textId="011E0EF2" w:rsidR="00E276BD" w:rsidRPr="00C612EB" w:rsidRDefault="00E276BD" w:rsidP="0045224B">
      <w:pPr>
        <w:pStyle w:val="BodyText"/>
      </w:pPr>
    </w:p>
    <w:p w14:paraId="405A4277" w14:textId="17B0E79C" w:rsidR="008A7A6A" w:rsidRDefault="000546B9" w:rsidP="008A7A6A">
      <w:pPr>
        <w:pStyle w:val="BodyText"/>
        <w:keepNext/>
      </w:pPr>
      <w:r>
        <w:rPr>
          <w:noProof/>
        </w:rPr>
        <w:lastRenderedPageBreak/>
        <w:drawing>
          <wp:inline distT="0" distB="0" distL="0" distR="0" wp14:anchorId="78B21C24" wp14:editId="3BC6C90F">
            <wp:extent cx="5040975" cy="360243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1#89_SEM_Impact_from_power_cntrl.png"/>
                    <pic:cNvPicPr/>
                  </pic:nvPicPr>
                  <pic:blipFill>
                    <a:blip r:embed="rId11">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9301DA5" w14:textId="4C8062E9" w:rsidR="00E276BD" w:rsidRPr="00C612EB" w:rsidRDefault="008A7A6A" w:rsidP="008A7A6A">
      <w:pPr>
        <w:pStyle w:val="Caption"/>
        <w:jc w:val="both"/>
      </w:pPr>
      <w:bookmarkStart w:id="6" w:name="_Ref486413451"/>
      <w:r w:rsidRPr="00C612EB">
        <w:t xml:space="preserve">Figure </w:t>
      </w:r>
      <w:r>
        <w:fldChar w:fldCharType="begin"/>
      </w:r>
      <w:r w:rsidRPr="00C612EB">
        <w:instrText xml:space="preserve"> SEQ Figure \* ARABIC </w:instrText>
      </w:r>
      <w:r>
        <w:fldChar w:fldCharType="separate"/>
      </w:r>
      <w:r w:rsidR="00306F91">
        <w:rPr>
          <w:noProof/>
        </w:rPr>
        <w:t>3</w:t>
      </w:r>
      <w:r>
        <w:fldChar w:fldCharType="end"/>
      </w:r>
      <w:bookmarkEnd w:id="6"/>
      <w:r w:rsidRPr="00C612EB">
        <w:t xml:space="preserve"> Illustration of impact on subcarrier orthogonality due to power control inaccuracy of ± 12.5 dB.</w:t>
      </w:r>
    </w:p>
    <w:p w14:paraId="69C67F4B" w14:textId="79A1F2F4" w:rsidR="00CB471D" w:rsidRPr="00C0102B" w:rsidRDefault="00CB471D" w:rsidP="00CB471D">
      <w:pPr>
        <w:pStyle w:val="Heading4"/>
      </w:pPr>
      <w:r>
        <w:t>Impact on UE power consumption</w:t>
      </w:r>
    </w:p>
    <w:p w14:paraId="580A34A4" w14:textId="295A979B" w:rsidR="00CB471D" w:rsidRPr="00C612EB" w:rsidRDefault="00CB471D" w:rsidP="00CB471D">
      <w:r w:rsidRPr="00C612EB">
        <w:t>It can be expected that an inaccurate power control will lead to a suboptimal power consumption. Since NB-IoT is a new technology limited</w:t>
      </w:r>
      <w:r w:rsidR="00B355EB" w:rsidRPr="00C612EB">
        <w:t>/no</w:t>
      </w:r>
      <w:r w:rsidRPr="00C612EB">
        <w:t xml:space="preserve"> public material describing the power consumption profile for a range of output power levels exists. For </w:t>
      </w:r>
      <w:r w:rsidR="00B355EB" w:rsidRPr="00C612EB">
        <w:t>LTE,</w:t>
      </w:r>
      <w:r w:rsidRPr="00C612EB">
        <w:t xml:space="preserve"> there are however published articles in this area that can be used to exemplify the negative impact on UE power consumption from </w:t>
      </w:r>
      <w:r w:rsidR="00DE36F2" w:rsidRPr="00C612EB">
        <w:t xml:space="preserve">using an incorrect power level. In </w:t>
      </w:r>
      <w:r w:rsidR="00DE36F2">
        <w:fldChar w:fldCharType="begin"/>
      </w:r>
      <w:r w:rsidR="00DE36F2" w:rsidRPr="00C612EB">
        <w:instrText xml:space="preserve"> REF _Ref486416108 \r \h </w:instrText>
      </w:r>
      <w:r w:rsidR="00DE36F2">
        <w:fldChar w:fldCharType="separate"/>
      </w:r>
      <w:r w:rsidR="00306F91">
        <w:t>[1]</w:t>
      </w:r>
      <w:r w:rsidR="00DE36F2">
        <w:fldChar w:fldCharType="end"/>
      </w:r>
      <w:r w:rsidR="00DE36F2" w:rsidRPr="00C612EB">
        <w:t xml:space="preserve"> a model to characterize the average power consumption of a 23 dBm smart phone transmitting at 800 MHz is described</w:t>
      </w:r>
      <w:r w:rsidR="00841AFF" w:rsidRPr="00C612EB">
        <w:t xml:space="preserve"> as</w:t>
      </w:r>
      <w:r w:rsidR="00DE36F2" w:rsidRPr="00C612EB">
        <w:t>:</w:t>
      </w:r>
    </w:p>
    <w:p w14:paraId="71B763CB" w14:textId="2DD024B3" w:rsidR="00DE36F2" w:rsidRPr="00841AFF" w:rsidRDefault="004333A6" w:rsidP="00CB471D">
      <m:oMathPara>
        <m:oMath>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TX</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4.8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+1600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≤12 dBm</m:t>
                  </m:r>
                </m:e>
                <m:e>
                  <m:r>
                    <w:rPr>
                      <w:rFonts w:ascii="Cambria Math" w:hAnsi="Cambria Math"/>
                    </w:rPr>
                    <m:t>68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+790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&gt;12 dBm</m:t>
                  </m:r>
                </m:e>
              </m:eqArr>
            </m:e>
          </m:d>
        </m:oMath>
      </m:oMathPara>
    </w:p>
    <w:p w14:paraId="7385058E" w14:textId="77777777" w:rsidR="00841AFF" w:rsidRDefault="00841AFF" w:rsidP="00841AFF">
      <w:pPr>
        <w:keepNext/>
      </w:pPr>
      <w:r>
        <w:rPr>
          <w:noProof/>
        </w:rPr>
        <w:lastRenderedPageBreak/>
        <w:drawing>
          <wp:inline distT="0" distB="0" distL="0" distR="0" wp14:anchorId="7AEB90D2" wp14:editId="3A1FC4BF">
            <wp:extent cx="5040975" cy="360243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N1#89_UE_power_model.png"/>
                    <pic:cNvPicPr/>
                  </pic:nvPicPr>
                  <pic:blipFill>
                    <a:blip r:embed="rId12">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72C7ACC" w14:textId="2C75926B" w:rsidR="00841AFF" w:rsidRPr="00C612EB" w:rsidRDefault="00841AFF" w:rsidP="00841AFF">
      <w:pPr>
        <w:pStyle w:val="Caption"/>
      </w:pPr>
      <w:r w:rsidRPr="00C612EB">
        <w:t xml:space="preserve">Figure </w:t>
      </w:r>
      <w:r>
        <w:fldChar w:fldCharType="begin"/>
      </w:r>
      <w:r w:rsidRPr="00C612EB">
        <w:instrText xml:space="preserve"> SEQ Figure \* ARABIC </w:instrText>
      </w:r>
      <w:r>
        <w:fldChar w:fldCharType="separate"/>
      </w:r>
      <w:r w:rsidR="00306F91">
        <w:rPr>
          <w:noProof/>
        </w:rPr>
        <w:t>4</w:t>
      </w:r>
      <w:r>
        <w:fldChar w:fldCharType="end"/>
      </w:r>
      <w:r w:rsidRPr="00C612EB">
        <w:t xml:space="preserve"> Smart phone power consumption model </w:t>
      </w:r>
      <w:r>
        <w:fldChar w:fldCharType="begin"/>
      </w:r>
      <w:r w:rsidRPr="00C612EB">
        <w:instrText xml:space="preserve"> REF _Ref486416108 \r \h  \* MERGEFORMAT </w:instrText>
      </w:r>
      <w:r>
        <w:fldChar w:fldCharType="separate"/>
      </w:r>
      <w:r w:rsidR="00306F91">
        <w:t>[1]</w:t>
      </w:r>
      <w:r>
        <w:fldChar w:fldCharType="end"/>
      </w:r>
      <w:r w:rsidRPr="00C612EB">
        <w:t>.</w:t>
      </w:r>
    </w:p>
    <w:p w14:paraId="5E7837E3" w14:textId="51A3E83D" w:rsidR="00841AFF" w:rsidRPr="00C612EB" w:rsidRDefault="00841AFF" w:rsidP="00841AFF">
      <w:r w:rsidRPr="00C612EB">
        <w:t xml:space="preserve">Based on this simple model the excessive power consumption for a given ideal power level </w:t>
      </w:r>
      <w:r w:rsidRPr="00C612EB">
        <w:rPr>
          <w:i/>
        </w:rPr>
        <w:t>P</w:t>
      </w:r>
      <w:r w:rsidRPr="00C612EB">
        <w:rPr>
          <w:i/>
          <w:vertAlign w:val="subscript"/>
        </w:rPr>
        <w:t>I</w:t>
      </w:r>
      <w:r w:rsidR="00EA7EE8" w:rsidRPr="00C612EB">
        <w:rPr>
          <w:i/>
          <w:vertAlign w:val="subscript"/>
        </w:rPr>
        <w:t>DEAL</w:t>
      </w:r>
      <w:r w:rsidRPr="00C612EB">
        <w:t xml:space="preserve"> and a power configuration error </w:t>
      </w:r>
      <w:r w:rsidRPr="00C612EB">
        <w:rPr>
          <w:i/>
        </w:rPr>
        <w:t>P</w:t>
      </w:r>
      <w:r w:rsidRPr="00C612EB">
        <w:rPr>
          <w:i/>
          <w:vertAlign w:val="subscript"/>
        </w:rPr>
        <w:t>E</w:t>
      </w:r>
      <w:r w:rsidR="00EA7EE8" w:rsidRPr="00C612EB">
        <w:rPr>
          <w:i/>
          <w:vertAlign w:val="subscript"/>
        </w:rPr>
        <w:t>RR</w:t>
      </w:r>
      <w:r w:rsidRPr="00C612EB">
        <w:t xml:space="preserve"> can be calculated as:</w:t>
      </w:r>
    </w:p>
    <w:p w14:paraId="2D61265D" w14:textId="77777777" w:rsidR="00841AFF" w:rsidRPr="00C612EB" w:rsidRDefault="00841AFF" w:rsidP="00841AFF"/>
    <w:p w14:paraId="6B5E40AD" w14:textId="48851224" w:rsidR="00841AFF" w:rsidRPr="00EA7EE8" w:rsidRDefault="004333A6" w:rsidP="00841AFF">
      <m:oMathPara>
        <m:oMath>
          <m:sSub>
            <m:sSubPr>
              <m:ctrlPr>
                <w:rPr>
                  <w:rFonts w:ascii="Cambria Math" w:hAnsi="Cambria Math"/>
                  <w:i/>
                </w:rPr>
              </m:ctrlPr>
            </m:sSubPr>
            <m:e>
              <m:r>
                <w:rPr>
                  <w:rFonts w:ascii="Cambria Math" w:hAnsi="Cambria Math"/>
                </w:rPr>
                <m:t>P</m:t>
              </m:r>
            </m:e>
            <m:sub>
              <m:r>
                <w:rPr>
                  <w:rFonts w:ascii="Cambria Math" w:hAnsi="Cambria Math"/>
                </w:rPr>
                <m:t>EX</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rPr>
                      </m:ctrlPr>
                    </m:dPr>
                    <m:e>
                      <m:sSub>
                        <m:sSubPr>
                          <m:ctrlPr>
                            <w:rPr>
                              <w:rFonts w:ascii="Cambria Math" w:hAnsi="Cambria Math"/>
                              <w:i/>
                            </w:rPr>
                          </m:ctrlPr>
                        </m:sSubPr>
                        <m:e>
                          <m:r>
                            <m:rPr>
                              <m:sty m:val="p"/>
                            </m:rPr>
                            <w:rPr>
                              <w:rFonts w:ascii="Cambria Math" w:hAnsi="Cambria Math"/>
                            </w:rPr>
                            <m:t>min⁡</m:t>
                          </m:r>
                          <m:r>
                            <w:rPr>
                              <w:rFonts w:ascii="Cambria Math" w:hAnsi="Cambria Math"/>
                            </w:rPr>
                            <m:t>(23, P</m:t>
                          </m:r>
                        </m:e>
                        <m:sub>
                          <m:r>
                            <w:rPr>
                              <w:rFonts w:ascii="Cambria Math" w:hAnsi="Cambria Math"/>
                            </w:rPr>
                            <m:t>IDEAL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ERR</m:t>
                          </m:r>
                        </m:sub>
                      </m:sSub>
                      <m:r>
                        <w:rPr>
                          <w:rFonts w:ascii="Cambria Math" w:hAnsi="Cambria Math"/>
                        </w:rPr>
                        <m:t>)</m:t>
                      </m:r>
                      <m:ctrlPr>
                        <w:rPr>
                          <w:rFonts w:ascii="Cambria Math" w:hAnsi="Cambria Math"/>
                          <w:i/>
                        </w:rPr>
                      </m:ctrlPr>
                    </m:e>
                  </m:d>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num>
            <m:den>
              <m:sSub>
                <m:sSubPr>
                  <m:ctrlPr>
                    <w:rPr>
                      <w:rFonts w:ascii="Cambria Math" w:hAnsi="Cambria Math"/>
                      <w:i/>
                    </w:rPr>
                  </m:ctrlPr>
                </m:sSubPr>
                <m:e>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den>
          </m:f>
        </m:oMath>
      </m:oMathPara>
    </w:p>
    <w:p w14:paraId="45EEB3D5" w14:textId="71DC74CC" w:rsidR="00EA7EE8" w:rsidRPr="00C612EB" w:rsidRDefault="00EA7EE8" w:rsidP="00841AFF">
      <w:r>
        <w:fldChar w:fldCharType="begin"/>
      </w:r>
      <w:r w:rsidRPr="00C612EB">
        <w:instrText xml:space="preserve"> REF _Ref486421649 \h </w:instrText>
      </w:r>
      <w:r>
        <w:fldChar w:fldCharType="separate"/>
      </w:r>
      <w:r w:rsidR="00306F91" w:rsidRPr="00C612EB">
        <w:t xml:space="preserve">Figure </w:t>
      </w:r>
      <w:r w:rsidR="00306F91">
        <w:rPr>
          <w:noProof/>
        </w:rPr>
        <w:t>5</w:t>
      </w:r>
      <w:r>
        <w:fldChar w:fldCharType="end"/>
      </w:r>
      <w:r w:rsidRPr="00C612EB">
        <w:t xml:space="preserve"> gives the excessive power consumption for the </w:t>
      </w:r>
      <w:r w:rsidR="00306F91" w:rsidRPr="00C612EB">
        <w:t>worst-case</w:t>
      </w:r>
      <w:r w:rsidRPr="00C612EB">
        <w:t xml:space="preserve"> power error of +12.5 dB which gives a peak excessive power consumption of ~42% at an ideal output power of 11 dB which results in an configured actual output power of 23 dBm due to the large error of +12.5 dB.</w:t>
      </w:r>
    </w:p>
    <w:p w14:paraId="1527E2BC" w14:textId="108586F7" w:rsidR="00841AFF" w:rsidRDefault="00841AFF" w:rsidP="00CB471D">
      <w:r>
        <w:rPr>
          <w:noProof/>
        </w:rPr>
        <w:lastRenderedPageBreak/>
        <w:drawing>
          <wp:inline distT="0" distB="0" distL="0" distR="0" wp14:anchorId="6D9768CD" wp14:editId="6F6B140E">
            <wp:extent cx="5040975" cy="3602438"/>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N1#89_UE_power_loss_model.png"/>
                    <pic:cNvPicPr/>
                  </pic:nvPicPr>
                  <pic:blipFill>
                    <a:blip r:embed="rId13">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0D189693" w14:textId="0FABCFA9" w:rsidR="00EA7EE8" w:rsidRPr="00C612EB" w:rsidRDefault="00EA7EE8" w:rsidP="00EA7EE8">
      <w:pPr>
        <w:pStyle w:val="Caption"/>
      </w:pPr>
      <w:bookmarkStart w:id="7" w:name="_Ref486421649"/>
      <w:r w:rsidRPr="00C612EB">
        <w:t xml:space="preserve">Figure </w:t>
      </w:r>
      <w:r>
        <w:fldChar w:fldCharType="begin"/>
      </w:r>
      <w:r w:rsidRPr="00C612EB">
        <w:instrText xml:space="preserve"> SEQ Figure \* ARABIC </w:instrText>
      </w:r>
      <w:r>
        <w:fldChar w:fldCharType="separate"/>
      </w:r>
      <w:r w:rsidR="00306F91">
        <w:rPr>
          <w:noProof/>
        </w:rPr>
        <w:t>5</w:t>
      </w:r>
      <w:r>
        <w:fldChar w:fldCharType="end"/>
      </w:r>
      <w:bookmarkEnd w:id="7"/>
      <w:r w:rsidRPr="00C612EB">
        <w:t xml:space="preserve"> Excessive power consumption due to </w:t>
      </w:r>
      <w:r w:rsidR="00306F91" w:rsidRPr="00C612EB">
        <w:t>a</w:t>
      </w:r>
      <w:r w:rsidRPr="00C612EB">
        <w:t xml:space="preserve"> power error of 12.5 dB </w:t>
      </w:r>
      <w:r>
        <w:fldChar w:fldCharType="begin"/>
      </w:r>
      <w:r w:rsidRPr="00C612EB">
        <w:instrText xml:space="preserve"> REF _Ref486416108 \r \h  \* MERGEFORMAT </w:instrText>
      </w:r>
      <w:r>
        <w:fldChar w:fldCharType="separate"/>
      </w:r>
      <w:r w:rsidR="00306F91">
        <w:t>[1]</w:t>
      </w:r>
      <w:r>
        <w:fldChar w:fldCharType="end"/>
      </w:r>
      <w:r w:rsidRPr="00C612EB">
        <w:t>.</w:t>
      </w:r>
    </w:p>
    <w:p w14:paraId="5469F651" w14:textId="4E1A64CB" w:rsidR="00841AFF" w:rsidRPr="00C612EB" w:rsidRDefault="00EA7EE8" w:rsidP="00CB471D">
      <w:r w:rsidRPr="00C612EB">
        <w:t>It is clear to this is a very simple model that only applies in worst</w:t>
      </w:r>
      <w:r w:rsidR="00536084" w:rsidRPr="00C612EB">
        <w:t xml:space="preserve"> case for a smart phone device, but it serves its purpose to illustrate that incorrectly configured output power levels may cause waste of battery power. </w:t>
      </w:r>
    </w:p>
    <w:p w14:paraId="4A51117D" w14:textId="690825C5" w:rsidR="00536084" w:rsidRPr="00C612EB" w:rsidRDefault="00536084" w:rsidP="00536084">
      <w:pPr>
        <w:pStyle w:val="Observation"/>
        <w:numPr>
          <w:ilvl w:val="0"/>
          <w:numId w:val="38"/>
        </w:numPr>
        <w:ind w:left="1701" w:hanging="1701"/>
      </w:pPr>
      <w:r w:rsidRPr="00C612EB">
        <w:t>Improved connected mode NRSRP and power control accuracy will improve the UE power consumption characteristics.</w:t>
      </w:r>
    </w:p>
    <w:p w14:paraId="16352D6D" w14:textId="08713A35" w:rsidR="00536084" w:rsidRPr="00C0102B" w:rsidRDefault="00536084" w:rsidP="00536084">
      <w:pPr>
        <w:pStyle w:val="Heading3"/>
      </w:pPr>
      <w:r>
        <w:t>Connected mode measurements</w:t>
      </w:r>
    </w:p>
    <w:p w14:paraId="2BDFA93A" w14:textId="7F48A721" w:rsidR="00DF0C7E" w:rsidRPr="00C612EB" w:rsidRDefault="00536084" w:rsidP="00CB471D">
      <w:r w:rsidRPr="00C612EB">
        <w:t>In connected mode</w:t>
      </w:r>
      <w:r w:rsidR="00FF1706" w:rsidRPr="00C612EB">
        <w:t>,</w:t>
      </w:r>
      <w:r w:rsidRPr="00C612EB">
        <w:t xml:space="preserve"> a UE is currently required to </w:t>
      </w:r>
      <w:r w:rsidR="00433F38" w:rsidRPr="00C612EB">
        <w:t>base</w:t>
      </w:r>
      <w:r w:rsidRPr="00C612EB">
        <w:t xml:space="preserve"> NRSRP on NRS transmissions.</w:t>
      </w:r>
      <w:r w:rsidR="0060240E" w:rsidRPr="00C612EB">
        <w:t xml:space="preserve"> In our view it is reasonable to also consider making general use of the NPDCCH </w:t>
      </w:r>
      <w:r w:rsidR="00DF0C7E" w:rsidRPr="00C612EB">
        <w:t>for improving the measurements. This since an uplink transmission per definition is scheduled by a NPDCCH, so a device should be able to decode the NPDCCH and measure its power at the same time.</w:t>
      </w:r>
    </w:p>
    <w:p w14:paraId="0652FAF4" w14:textId="26A5FB19" w:rsidR="0060240E" w:rsidRPr="00C612EB" w:rsidRDefault="00DF0C7E" w:rsidP="00CB471D">
      <w:r w:rsidRPr="00C612EB">
        <w:t xml:space="preserve">For a device configured on the anchor carrier the </w:t>
      </w:r>
      <w:r w:rsidR="00B355EB" w:rsidRPr="00C612EB">
        <w:t xml:space="preserve">NSSS and </w:t>
      </w:r>
      <w:r w:rsidRPr="00C612EB">
        <w:t>NPBCH transmissions may in addition to the NPDCCH be used for connected mode measurements.</w:t>
      </w:r>
    </w:p>
    <w:p w14:paraId="39203033" w14:textId="2B645864" w:rsidR="001B3028" w:rsidRPr="00C612EB" w:rsidRDefault="00433F38" w:rsidP="00CB471D">
      <w:r w:rsidRPr="00C612EB">
        <w:t>The NRS is at most transmitted on 8 resource elements per antenna port, i.e. at most on 16 out of the 168 resource elements (R</w:t>
      </w:r>
      <w:r w:rsidR="00B355EB" w:rsidRPr="00C612EB">
        <w:t>E</w:t>
      </w:r>
      <w:r w:rsidRPr="00C612EB">
        <w:t>s) in a subframe. This can be compared to the NPBCH which is transmitted on 100 REs and the NPDCCH that is transmitted on between 100 and 160 REs depending on the mode of operation and the NRS/CRS antenna port configurations.</w:t>
      </w:r>
      <w:r w:rsidR="0051676C" w:rsidRPr="00C612EB">
        <w:t xml:space="preserve"> The power carried by the </w:t>
      </w:r>
      <w:r w:rsidR="000341E4" w:rsidRPr="00C612EB">
        <w:t>NPBCH and NPDCCH is hence in the order of 8 to 13 dB higher than what is carried by the NRSs.</w:t>
      </w:r>
      <w:r w:rsidR="0060240E" w:rsidRPr="00C612EB">
        <w:t xml:space="preserve"> The densification offered by the NPBCH and NPDCCH should have the ability to improve the reliability of NRSRP measurements. </w:t>
      </w:r>
    </w:p>
    <w:p w14:paraId="3C3D55BF" w14:textId="6D2E16E2" w:rsidR="00DF0C7E" w:rsidRPr="00C612EB" w:rsidRDefault="00DF0C7E" w:rsidP="00DF0C7E">
      <w:r w:rsidRPr="00C612EB">
        <w:lastRenderedPageBreak/>
        <w:t>The use of the NPDSCH for measuring NRSRP is somewhat limited due to NB-IoT not supporting simultaneous uplink and downlink data transmission. It is therefore proposed to focus on improving connected mode anchor and non-anchor RRM measurements based on NPDCCH and NPBCH transmission.</w:t>
      </w:r>
    </w:p>
    <w:p w14:paraId="27003585" w14:textId="77777777" w:rsidR="00DF0C7E" w:rsidRPr="00C612EB" w:rsidRDefault="00DF0C7E" w:rsidP="00DF0C7E">
      <w:pPr>
        <w:pStyle w:val="Proposal"/>
        <w:numPr>
          <w:ilvl w:val="0"/>
          <w:numId w:val="37"/>
        </w:numPr>
        <w:tabs>
          <w:tab w:val="clear" w:pos="1304"/>
        </w:tabs>
        <w:ind w:left="1701" w:hanging="1701"/>
      </w:pPr>
      <w:r w:rsidRPr="00C612EB">
        <w:t>RAN1 should consider connected mode anchor and non-anchor RRM measurements based on NPDCCH and NPBCH transmission.</w:t>
      </w:r>
    </w:p>
    <w:p w14:paraId="4E585CE0" w14:textId="33A0BF1A" w:rsidR="0086479A" w:rsidRDefault="0086479A" w:rsidP="0086479A">
      <w:pPr>
        <w:pStyle w:val="Heading1"/>
      </w:pPr>
      <w:r>
        <w:t>Conclusions</w:t>
      </w:r>
    </w:p>
    <w:p w14:paraId="6DA1EB01" w14:textId="51EE1645" w:rsidR="005763EE" w:rsidRDefault="005763EE" w:rsidP="005763EE">
      <w:pPr>
        <w:pStyle w:val="BodyText"/>
      </w:pPr>
      <w:r w:rsidRPr="00C612EB">
        <w:t xml:space="preserve">In this contribution, we have discussed the support for </w:t>
      </w:r>
      <w:r w:rsidR="0046381C">
        <w:t>NB-IoT measurement accuracy improvements</w:t>
      </w:r>
      <w:r w:rsidRPr="00C612EB">
        <w:t xml:space="preserve">. </w:t>
      </w:r>
      <w:r>
        <w:t>We made the following observations and proposals</w:t>
      </w:r>
      <w:r w:rsidRPr="00CE0424">
        <w:t>:</w:t>
      </w:r>
    </w:p>
    <w:p w14:paraId="5B355FCB" w14:textId="77777777" w:rsidR="0046381C" w:rsidRPr="00C612EB" w:rsidRDefault="0046381C" w:rsidP="0046381C">
      <w:pPr>
        <w:pStyle w:val="Proposal"/>
        <w:numPr>
          <w:ilvl w:val="0"/>
          <w:numId w:val="43"/>
        </w:numPr>
        <w:tabs>
          <w:tab w:val="clear" w:pos="1304"/>
        </w:tabs>
        <w:ind w:left="1701" w:hanging="1701"/>
        <w:jc w:val="both"/>
      </w:pPr>
      <w:r>
        <w:t xml:space="preserve">Inform RAN4 that from RAN1 perspective, it is feasible to provide UE information of how to conduct the measurement when NSSS is configured to be used for RRM measurements, e.g., </w:t>
      </w:r>
      <w:r w:rsidRPr="003B02C9">
        <w:t xml:space="preserve">conveyed </w:t>
      </w:r>
      <w:r>
        <w:t xml:space="preserve">the information </w:t>
      </w:r>
      <w:r w:rsidRPr="003B02C9">
        <w:t xml:space="preserve">to the UE via </w:t>
      </w:r>
      <w:r>
        <w:t>RRC signaling.</w:t>
      </w:r>
    </w:p>
    <w:p w14:paraId="2A26B2CD" w14:textId="26123D56" w:rsidR="0046381C" w:rsidRDefault="0046381C" w:rsidP="00DF0C7E">
      <w:pPr>
        <w:pStyle w:val="Proposal"/>
        <w:numPr>
          <w:ilvl w:val="0"/>
          <w:numId w:val="43"/>
        </w:numPr>
        <w:tabs>
          <w:tab w:val="clear" w:pos="1304"/>
        </w:tabs>
        <w:ind w:left="1701" w:hanging="1701"/>
      </w:pPr>
      <w:r>
        <w:t xml:space="preserve">When NSSS is configured and used for the NRSRP </w:t>
      </w:r>
      <w:r>
        <w:rPr>
          <w:lang w:val="en-GB"/>
        </w:rPr>
        <w:t>measurements in a cell intended for camping, the NRSSI measurement needed to calculate NRSRQ should not be made on subframes containing NSSS, NPSS, and NPBCH transmitted from the evaluate cell</w:t>
      </w:r>
      <w:r w:rsidRPr="00C612EB">
        <w:t>.</w:t>
      </w:r>
    </w:p>
    <w:p w14:paraId="477D7374" w14:textId="3371A72A" w:rsidR="00DF0C7E" w:rsidRPr="00C612EB" w:rsidRDefault="00DF0C7E" w:rsidP="00DF0C7E">
      <w:pPr>
        <w:pStyle w:val="Proposal"/>
        <w:numPr>
          <w:ilvl w:val="0"/>
          <w:numId w:val="43"/>
        </w:numPr>
        <w:tabs>
          <w:tab w:val="clear" w:pos="1304"/>
        </w:tabs>
        <w:ind w:left="1701" w:hanging="1701"/>
      </w:pPr>
      <w:r w:rsidRPr="00C612EB">
        <w:t>CRS is not a candidate for improving NB-IoT idle mode RRM measurements.</w:t>
      </w:r>
    </w:p>
    <w:p w14:paraId="1ED3BBF7" w14:textId="77777777" w:rsidR="00DF0C7E" w:rsidRPr="00C612EB" w:rsidRDefault="00DF0C7E" w:rsidP="00DF0C7E">
      <w:pPr>
        <w:pStyle w:val="Proposal"/>
        <w:numPr>
          <w:ilvl w:val="0"/>
          <w:numId w:val="37"/>
        </w:numPr>
        <w:tabs>
          <w:tab w:val="clear" w:pos="1304"/>
        </w:tabs>
        <w:ind w:left="1701" w:hanging="1701"/>
      </w:pPr>
      <w:r w:rsidRPr="00C612EB">
        <w:t>RAN1 should strive to limit the sum of the absolute power tolerance and the aggregated power control tolerance to ±9 dB.</w:t>
      </w:r>
    </w:p>
    <w:p w14:paraId="665CE09A" w14:textId="77777777" w:rsidR="00DF0C7E" w:rsidRPr="00C612EB" w:rsidRDefault="00DF0C7E" w:rsidP="00DF0C7E">
      <w:pPr>
        <w:pStyle w:val="Proposal"/>
        <w:numPr>
          <w:ilvl w:val="0"/>
          <w:numId w:val="37"/>
        </w:numPr>
        <w:tabs>
          <w:tab w:val="clear" w:pos="1304"/>
        </w:tabs>
        <w:ind w:left="1701" w:hanging="1701"/>
      </w:pPr>
      <w:r w:rsidRPr="00C612EB">
        <w:t>RAN1 should consider connected mode anchor and non-anchor RRM measurements based on NPDCCH and NPBCH transmission.</w:t>
      </w:r>
    </w:p>
    <w:p w14:paraId="420C85F7" w14:textId="6691913A" w:rsidR="005763EE" w:rsidRPr="00C612EB" w:rsidRDefault="005763EE" w:rsidP="0086479A">
      <w:pPr>
        <w:pStyle w:val="BodyText"/>
      </w:pPr>
    </w:p>
    <w:p w14:paraId="6EC8D35B" w14:textId="77777777" w:rsidR="0046381C" w:rsidRPr="00C612EB" w:rsidRDefault="0046381C" w:rsidP="0046381C">
      <w:pPr>
        <w:pStyle w:val="Observation"/>
        <w:numPr>
          <w:ilvl w:val="0"/>
          <w:numId w:val="44"/>
        </w:numPr>
        <w:ind w:left="1701" w:hanging="1701"/>
      </w:pPr>
      <w:r>
        <w:t xml:space="preserve">To limit the transmit diversity possibilities of NSSS may result in negative impacts on existing and future NB-IoT deployments. </w:t>
      </w:r>
    </w:p>
    <w:p w14:paraId="11F85D2E" w14:textId="77777777" w:rsidR="0046381C" w:rsidRPr="00C612EB" w:rsidRDefault="0046381C" w:rsidP="0046381C">
      <w:pPr>
        <w:pStyle w:val="Observation"/>
        <w:numPr>
          <w:ilvl w:val="0"/>
          <w:numId w:val="44"/>
        </w:numPr>
        <w:ind w:left="1701" w:hanging="1701"/>
      </w:pPr>
      <w:r w:rsidRPr="00306F91">
        <w:rPr>
          <w:lang w:eastAsia="en-US"/>
        </w:rPr>
        <w:t xml:space="preserve">A UE should refrain from measuring NRSSI on subframes 0, 5 and (every 2nd) that carries NPSS, NSSS or NPBCH to optimize the coupling between SINR to NRSRQ. </w:t>
      </w:r>
    </w:p>
    <w:p w14:paraId="175184A7" w14:textId="1518C88B" w:rsidR="00DF0C7E" w:rsidRPr="00C612EB" w:rsidRDefault="00DF0C7E" w:rsidP="00DF0C7E">
      <w:pPr>
        <w:pStyle w:val="Observation"/>
        <w:numPr>
          <w:ilvl w:val="0"/>
          <w:numId w:val="44"/>
        </w:numPr>
        <w:ind w:left="1701" w:hanging="1701"/>
      </w:pPr>
      <w:r w:rsidRPr="00C612EB">
        <w:t>Improved connected mode NRSRP and power control accuracy will improve the orthogonality between adjacent subcarriers and result in an overall more robust system design.</w:t>
      </w:r>
    </w:p>
    <w:p w14:paraId="6FEFAA83" w14:textId="77777777" w:rsidR="00DF0C7E" w:rsidRPr="00C612EB" w:rsidRDefault="00DF0C7E" w:rsidP="00DF0C7E">
      <w:pPr>
        <w:pStyle w:val="Observation"/>
        <w:numPr>
          <w:ilvl w:val="0"/>
          <w:numId w:val="38"/>
        </w:numPr>
        <w:ind w:left="1701" w:hanging="1701"/>
      </w:pPr>
      <w:r w:rsidRPr="00C612EB">
        <w:t>Improved connected mode NRSRP and power control accuracy will improve the UE power consumption characteristics.</w:t>
      </w:r>
    </w:p>
    <w:p w14:paraId="7FACEFC0" w14:textId="77777777" w:rsidR="00DF0C7E" w:rsidRPr="00C612EB" w:rsidRDefault="00DF0C7E" w:rsidP="0086479A">
      <w:pPr>
        <w:pStyle w:val="BodyText"/>
      </w:pPr>
    </w:p>
    <w:p w14:paraId="287BEBC4" w14:textId="1D2B5558" w:rsidR="0086479A" w:rsidRDefault="0086479A" w:rsidP="0086479A">
      <w:pPr>
        <w:pStyle w:val="Heading1"/>
      </w:pPr>
      <w:r>
        <w:lastRenderedPageBreak/>
        <w:t>References</w:t>
      </w:r>
    </w:p>
    <w:p w14:paraId="502B4FF3" w14:textId="02058696" w:rsidR="00DE36F2" w:rsidRPr="00C612EB" w:rsidRDefault="00DE36F2" w:rsidP="005763EE">
      <w:pPr>
        <w:pStyle w:val="Reference"/>
      </w:pPr>
      <w:bookmarkStart w:id="8" w:name="_Ref486416108"/>
      <w:r w:rsidRPr="00C612EB">
        <w:t>An accurate measurement-based power consumption model for LTE uplink transmissions, IEEE Infocom 2013 Demo/Poster session, Dusza et al</w:t>
      </w:r>
      <w:bookmarkEnd w:id="8"/>
      <w:r w:rsidRPr="00C612EB">
        <w:t xml:space="preserve"> </w:t>
      </w:r>
    </w:p>
    <w:p w14:paraId="2908E051" w14:textId="7562E928" w:rsidR="0060240E" w:rsidRPr="00C612EB" w:rsidRDefault="0060240E" w:rsidP="005763EE">
      <w:pPr>
        <w:pStyle w:val="Reference"/>
      </w:pPr>
      <w:r w:rsidRPr="00C612EB">
        <w:t>R1-1706890, Narrowband measurement accuracy improvements for NB-IoT, RAN1#89, Ericsson</w:t>
      </w:r>
    </w:p>
    <w:p w14:paraId="6E97871C" w14:textId="3F60D33F" w:rsidR="0060240E" w:rsidRDefault="0060240E" w:rsidP="00F71344">
      <w:pPr>
        <w:pStyle w:val="Reference"/>
      </w:pPr>
      <w:bookmarkStart w:id="9" w:name="_Ref481584712"/>
      <w:r w:rsidRPr="00C612EB">
        <w:t>R4-78AH-0129, “Further RRM measurements simulation results in stationary scenario”, RAN4#78-NB-IoT, source Ericsson</w:t>
      </w:r>
      <w:bookmarkEnd w:id="9"/>
    </w:p>
    <w:p w14:paraId="0094DDCD" w14:textId="43274C40" w:rsidR="00DB34A7" w:rsidRDefault="00DB34A7" w:rsidP="00DB34A7">
      <w:pPr>
        <w:pStyle w:val="Reference"/>
      </w:pPr>
      <w:bookmarkStart w:id="10" w:name="_Ref506231624"/>
      <w:r w:rsidRPr="00DB34A7">
        <w:t>R1-1719333</w:t>
      </w:r>
      <w:r>
        <w:t>, “</w:t>
      </w:r>
      <w:r w:rsidRPr="00DB34A7">
        <w:t>Reply LS on measurement accuracy improvement</w:t>
      </w:r>
      <w:r>
        <w:t>”, RAN1#91, source Huawei</w:t>
      </w:r>
      <w:bookmarkEnd w:id="10"/>
    </w:p>
    <w:p w14:paraId="55A4FF27" w14:textId="1DEB2FD5" w:rsidR="00306F91" w:rsidRPr="00C612EB" w:rsidRDefault="00306F91" w:rsidP="00306F91">
      <w:pPr>
        <w:pStyle w:val="Reference"/>
      </w:pPr>
      <w:bookmarkStart w:id="11" w:name="_Ref506537679"/>
      <w:r w:rsidRPr="00306F91">
        <w:t>R1-1802527</w:t>
      </w:r>
      <w:r>
        <w:t>, “</w:t>
      </w:r>
      <w:r w:rsidRPr="00306F91">
        <w:t>On early RSRQ report in Msg3 for NB-IoT</w:t>
      </w:r>
      <w:r>
        <w:t>”, RAN1#92, source Ericsson</w:t>
      </w:r>
      <w:bookmarkEnd w:id="11"/>
    </w:p>
    <w:sectPr w:rsidR="00306F91" w:rsidRPr="00C612EB"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09C6" w14:textId="77777777" w:rsidR="004333A6" w:rsidRDefault="004333A6">
      <w:r>
        <w:separator/>
      </w:r>
    </w:p>
  </w:endnote>
  <w:endnote w:type="continuationSeparator" w:id="0">
    <w:p w14:paraId="749B990D" w14:textId="77777777" w:rsidR="004333A6" w:rsidRDefault="004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9BCA341" w:rsidR="005D31C4" w:rsidRDefault="005D3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6F91">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6F91">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1EC77" w14:textId="77777777" w:rsidR="004333A6" w:rsidRDefault="004333A6">
      <w:r>
        <w:separator/>
      </w:r>
    </w:p>
  </w:footnote>
  <w:footnote w:type="continuationSeparator" w:id="0">
    <w:p w14:paraId="2C82C7AF" w14:textId="77777777" w:rsidR="004333A6" w:rsidRDefault="0043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5D31C4" w:rsidRDefault="005D3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4E5210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D36E29"/>
    <w:multiLevelType w:val="hybridMultilevel"/>
    <w:tmpl w:val="E7A65EF2"/>
    <w:lvl w:ilvl="0" w:tplc="4EB25C58">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6"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2"/>
  </w:num>
  <w:num w:numId="3">
    <w:abstractNumId w:val="21"/>
  </w:num>
  <w:num w:numId="4">
    <w:abstractNumId w:val="22"/>
  </w:num>
  <w:num w:numId="5">
    <w:abstractNumId w:val="16"/>
  </w:num>
  <w:num w:numId="6">
    <w:abstractNumId w:val="28"/>
  </w:num>
  <w:num w:numId="7">
    <w:abstractNumId w:val="34"/>
  </w:num>
  <w:num w:numId="8">
    <w:abstractNumId w:val="17"/>
  </w:num>
  <w:num w:numId="9">
    <w:abstractNumId w:val="15"/>
  </w:num>
  <w:num w:numId="10">
    <w:abstractNumId w:val="2"/>
  </w:num>
  <w:num w:numId="11">
    <w:abstractNumId w:val="1"/>
  </w:num>
  <w:num w:numId="12">
    <w:abstractNumId w:val="0"/>
  </w:num>
  <w:num w:numId="13">
    <w:abstractNumId w:val="33"/>
  </w:num>
  <w:num w:numId="14">
    <w:abstractNumId w:val="20"/>
  </w:num>
  <w:num w:numId="15">
    <w:abstractNumId w:val="27"/>
  </w:num>
  <w:num w:numId="16">
    <w:abstractNumId w:val="24"/>
  </w:num>
  <w:num w:numId="17">
    <w:abstractNumId w:val="35"/>
  </w:num>
  <w:num w:numId="18">
    <w:abstractNumId w:val="11"/>
  </w:num>
  <w:num w:numId="19">
    <w:abstractNumId w:val="19"/>
  </w:num>
  <w:num w:numId="20">
    <w:abstractNumId w:val="31"/>
  </w:num>
  <w:num w:numId="21">
    <w:abstractNumId w:val="39"/>
  </w:num>
  <w:num w:numId="22">
    <w:abstractNumId w:val="18"/>
  </w:num>
  <w:num w:numId="23">
    <w:abstractNumId w:val="12"/>
  </w:num>
  <w:num w:numId="24">
    <w:abstractNumId w:val="7"/>
  </w:num>
  <w:num w:numId="25">
    <w:abstractNumId w:val="6"/>
  </w:num>
  <w:num w:numId="26">
    <w:abstractNumId w:val="23"/>
  </w:num>
  <w:num w:numId="27">
    <w:abstractNumId w:val="36"/>
  </w:num>
  <w:num w:numId="28">
    <w:abstractNumId w:val="10"/>
  </w:num>
  <w:num w:numId="29">
    <w:abstractNumId w:val="37"/>
  </w:num>
  <w:num w:numId="30">
    <w:abstractNumId w:val="25"/>
  </w:num>
  <w:num w:numId="31">
    <w:abstractNumId w:val="8"/>
    <w:lvlOverride w:ilvl="0"/>
    <w:lvlOverride w:ilvl="1"/>
    <w:lvlOverride w:ilvl="2"/>
    <w:lvlOverride w:ilvl="3">
      <w:startOverride w:val="1"/>
    </w:lvlOverride>
    <w:lvlOverride w:ilvl="4"/>
    <w:lvlOverride w:ilvl="5"/>
    <w:lvlOverride w:ilvl="6"/>
    <w:lvlOverride w:ilvl="7"/>
    <w:lvlOverride w:ilvl="8"/>
  </w:num>
  <w:num w:numId="32">
    <w:abstractNumId w:val="30"/>
  </w:num>
  <w:num w:numId="33">
    <w:abstractNumId w:val="38"/>
  </w:num>
  <w:num w:numId="34">
    <w:abstractNumId w:val="8"/>
    <w:lvlOverride w:ilvl="0"/>
    <w:lvlOverride w:ilvl="1"/>
    <w:lvlOverride w:ilvl="2"/>
    <w:lvlOverride w:ilvl="3">
      <w:startOverride w:val="1"/>
    </w:lvlOverride>
    <w:lvlOverride w:ilvl="4"/>
    <w:lvlOverride w:ilvl="5"/>
    <w:lvlOverride w:ilvl="6"/>
    <w:lvlOverride w:ilvl="7"/>
    <w:lvlOverride w:ilvl="8"/>
  </w:num>
  <w:num w:numId="35">
    <w:abstractNumId w:val="9"/>
  </w:num>
  <w:num w:numId="36">
    <w:abstractNumId w:val="26"/>
  </w:num>
  <w:num w:numId="37">
    <w:abstractNumId w:val="21"/>
    <w:lvlOverride w:ilvl="0">
      <w:startOverride w:val="1"/>
    </w:lvlOverride>
  </w:num>
  <w:num w:numId="38">
    <w:abstractNumId w:val="33"/>
    <w:lvlOverride w:ilvl="0">
      <w:startOverride w:val="1"/>
    </w:lvlOverride>
  </w:num>
  <w:num w:numId="39">
    <w:abstractNumId w:val="5"/>
  </w:num>
  <w:num w:numId="40">
    <w:abstractNumId w:val="14"/>
  </w:num>
  <w:num w:numId="41">
    <w:abstractNumId w:val="3"/>
  </w:num>
  <w:num w:numId="42">
    <w:abstractNumId w:val="13"/>
  </w:num>
  <w:num w:numId="43">
    <w:abstractNumId w:val="21"/>
    <w:lvlOverride w:ilvl="0">
      <w:startOverride w:val="1"/>
    </w:lvlOverride>
  </w:num>
  <w:num w:numId="44">
    <w:abstractNumId w:val="33"/>
    <w:lvlOverride w:ilvl="0">
      <w:startOverride w:val="1"/>
    </w:lvlOverride>
  </w:num>
  <w:num w:numId="4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2FC"/>
    <w:rsid w:val="00007CDC"/>
    <w:rsid w:val="00011B28"/>
    <w:rsid w:val="00015D15"/>
    <w:rsid w:val="00017EBC"/>
    <w:rsid w:val="000219F1"/>
    <w:rsid w:val="00023205"/>
    <w:rsid w:val="00023964"/>
    <w:rsid w:val="0002564D"/>
    <w:rsid w:val="000256B8"/>
    <w:rsid w:val="00025ECA"/>
    <w:rsid w:val="00030B30"/>
    <w:rsid w:val="00030EEE"/>
    <w:rsid w:val="000325B8"/>
    <w:rsid w:val="000341E4"/>
    <w:rsid w:val="00034C15"/>
    <w:rsid w:val="00036BA1"/>
    <w:rsid w:val="00042009"/>
    <w:rsid w:val="000422E2"/>
    <w:rsid w:val="00042F22"/>
    <w:rsid w:val="00043DDA"/>
    <w:rsid w:val="000444EF"/>
    <w:rsid w:val="0004615F"/>
    <w:rsid w:val="00052A07"/>
    <w:rsid w:val="000534E3"/>
    <w:rsid w:val="000546B9"/>
    <w:rsid w:val="0005606A"/>
    <w:rsid w:val="00057117"/>
    <w:rsid w:val="0006066D"/>
    <w:rsid w:val="000616E7"/>
    <w:rsid w:val="000644EB"/>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53CC"/>
    <w:rsid w:val="001062FB"/>
    <w:rsid w:val="001063E6"/>
    <w:rsid w:val="00106E19"/>
    <w:rsid w:val="00113CF4"/>
    <w:rsid w:val="00114624"/>
    <w:rsid w:val="001153EA"/>
    <w:rsid w:val="00115643"/>
    <w:rsid w:val="00115B5C"/>
    <w:rsid w:val="00116765"/>
    <w:rsid w:val="001171E0"/>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3A8E"/>
    <w:rsid w:val="0018143F"/>
    <w:rsid w:val="00182965"/>
    <w:rsid w:val="001870BF"/>
    <w:rsid w:val="00190AC1"/>
    <w:rsid w:val="00190C60"/>
    <w:rsid w:val="0019341A"/>
    <w:rsid w:val="00193B11"/>
    <w:rsid w:val="00197DF9"/>
    <w:rsid w:val="001A1987"/>
    <w:rsid w:val="001A2564"/>
    <w:rsid w:val="001A6173"/>
    <w:rsid w:val="001A6BFB"/>
    <w:rsid w:val="001A6CBA"/>
    <w:rsid w:val="001B0D97"/>
    <w:rsid w:val="001B3028"/>
    <w:rsid w:val="001B5A5D"/>
    <w:rsid w:val="001B5EA8"/>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166C3"/>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B5870"/>
    <w:rsid w:val="002B785E"/>
    <w:rsid w:val="002C2B16"/>
    <w:rsid w:val="002C41E6"/>
    <w:rsid w:val="002C62B7"/>
    <w:rsid w:val="002D071A"/>
    <w:rsid w:val="002D1A48"/>
    <w:rsid w:val="002D34B2"/>
    <w:rsid w:val="002D3850"/>
    <w:rsid w:val="002D7637"/>
    <w:rsid w:val="002E1355"/>
    <w:rsid w:val="002E17F2"/>
    <w:rsid w:val="002E2DC2"/>
    <w:rsid w:val="002E7CAE"/>
    <w:rsid w:val="002F2771"/>
    <w:rsid w:val="002F37A9"/>
    <w:rsid w:val="002F6288"/>
    <w:rsid w:val="00301122"/>
    <w:rsid w:val="00301CE6"/>
    <w:rsid w:val="0030256B"/>
    <w:rsid w:val="00303D0C"/>
    <w:rsid w:val="0030501F"/>
    <w:rsid w:val="00306F91"/>
    <w:rsid w:val="00307BA1"/>
    <w:rsid w:val="0031063B"/>
    <w:rsid w:val="00311702"/>
    <w:rsid w:val="00311E82"/>
    <w:rsid w:val="00313FD6"/>
    <w:rsid w:val="003143BD"/>
    <w:rsid w:val="0031567B"/>
    <w:rsid w:val="003175A3"/>
    <w:rsid w:val="003203ED"/>
    <w:rsid w:val="00322C9F"/>
    <w:rsid w:val="00324D23"/>
    <w:rsid w:val="00327997"/>
    <w:rsid w:val="00331751"/>
    <w:rsid w:val="00331B7B"/>
    <w:rsid w:val="00334579"/>
    <w:rsid w:val="00334708"/>
    <w:rsid w:val="00335858"/>
    <w:rsid w:val="00336BDA"/>
    <w:rsid w:val="00342763"/>
    <w:rsid w:val="00342BD7"/>
    <w:rsid w:val="00345C2F"/>
    <w:rsid w:val="00346DB5"/>
    <w:rsid w:val="003477B1"/>
    <w:rsid w:val="00357380"/>
    <w:rsid w:val="003602D9"/>
    <w:rsid w:val="003604CE"/>
    <w:rsid w:val="00363CC5"/>
    <w:rsid w:val="00365C1B"/>
    <w:rsid w:val="00370E47"/>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02C9"/>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3DC5"/>
    <w:rsid w:val="003F6041"/>
    <w:rsid w:val="003F6BBE"/>
    <w:rsid w:val="003F6CD2"/>
    <w:rsid w:val="003F790F"/>
    <w:rsid w:val="004000E8"/>
    <w:rsid w:val="004004A2"/>
    <w:rsid w:val="00400CD9"/>
    <w:rsid w:val="0040135F"/>
    <w:rsid w:val="00401EE8"/>
    <w:rsid w:val="00401F99"/>
    <w:rsid w:val="00402E2B"/>
    <w:rsid w:val="004033B5"/>
    <w:rsid w:val="004050EA"/>
    <w:rsid w:val="0040512B"/>
    <w:rsid w:val="00405CA5"/>
    <w:rsid w:val="004071CE"/>
    <w:rsid w:val="00407CD3"/>
    <w:rsid w:val="00410134"/>
    <w:rsid w:val="00410B72"/>
    <w:rsid w:val="00410F18"/>
    <w:rsid w:val="0041263E"/>
    <w:rsid w:val="004133B7"/>
    <w:rsid w:val="00413AAC"/>
    <w:rsid w:val="00413E92"/>
    <w:rsid w:val="00414180"/>
    <w:rsid w:val="004165B2"/>
    <w:rsid w:val="00421105"/>
    <w:rsid w:val="00423E3A"/>
    <w:rsid w:val="004242F4"/>
    <w:rsid w:val="0042501F"/>
    <w:rsid w:val="00427248"/>
    <w:rsid w:val="004302DE"/>
    <w:rsid w:val="004306DD"/>
    <w:rsid w:val="00430832"/>
    <w:rsid w:val="004333A6"/>
    <w:rsid w:val="00433F38"/>
    <w:rsid w:val="00437447"/>
    <w:rsid w:val="00441782"/>
    <w:rsid w:val="00441984"/>
    <w:rsid w:val="00441A92"/>
    <w:rsid w:val="00444F56"/>
    <w:rsid w:val="00446488"/>
    <w:rsid w:val="004517AA"/>
    <w:rsid w:val="0045224B"/>
    <w:rsid w:val="00452CAC"/>
    <w:rsid w:val="004555FA"/>
    <w:rsid w:val="00457565"/>
    <w:rsid w:val="00457B71"/>
    <w:rsid w:val="0046233D"/>
    <w:rsid w:val="0046381C"/>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B7082"/>
    <w:rsid w:val="004B7C0C"/>
    <w:rsid w:val="004C3898"/>
    <w:rsid w:val="004D0D22"/>
    <w:rsid w:val="004D1319"/>
    <w:rsid w:val="004D36B1"/>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1676C"/>
    <w:rsid w:val="005219CF"/>
    <w:rsid w:val="00521B19"/>
    <w:rsid w:val="00522A62"/>
    <w:rsid w:val="00524E8F"/>
    <w:rsid w:val="00534B59"/>
    <w:rsid w:val="00536084"/>
    <w:rsid w:val="00536759"/>
    <w:rsid w:val="00537C62"/>
    <w:rsid w:val="00546970"/>
    <w:rsid w:val="00550E09"/>
    <w:rsid w:val="00554192"/>
    <w:rsid w:val="00554E19"/>
    <w:rsid w:val="0056121F"/>
    <w:rsid w:val="00562D77"/>
    <w:rsid w:val="00572505"/>
    <w:rsid w:val="00575DA6"/>
    <w:rsid w:val="005763EE"/>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3EEE"/>
    <w:rsid w:val="005A662D"/>
    <w:rsid w:val="005A7F5E"/>
    <w:rsid w:val="005B35D7"/>
    <w:rsid w:val="005B392A"/>
    <w:rsid w:val="005B3AA3"/>
    <w:rsid w:val="005B6507"/>
    <w:rsid w:val="005B6F83"/>
    <w:rsid w:val="005C03EB"/>
    <w:rsid w:val="005C3B5B"/>
    <w:rsid w:val="005C74FB"/>
    <w:rsid w:val="005D1602"/>
    <w:rsid w:val="005D31C4"/>
    <w:rsid w:val="005D43D0"/>
    <w:rsid w:val="005D45B4"/>
    <w:rsid w:val="005E2F98"/>
    <w:rsid w:val="005E385F"/>
    <w:rsid w:val="005E3EB7"/>
    <w:rsid w:val="005E5B81"/>
    <w:rsid w:val="005F1008"/>
    <w:rsid w:val="005F2C44"/>
    <w:rsid w:val="005F2CB1"/>
    <w:rsid w:val="005F3025"/>
    <w:rsid w:val="005F36C0"/>
    <w:rsid w:val="005F47D0"/>
    <w:rsid w:val="005F54AC"/>
    <w:rsid w:val="005F618C"/>
    <w:rsid w:val="005F70BD"/>
    <w:rsid w:val="0060240E"/>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5774"/>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3786"/>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384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177B3"/>
    <w:rsid w:val="007179C2"/>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4DAA"/>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6D7D"/>
    <w:rsid w:val="007E7091"/>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1AFF"/>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5CD7"/>
    <w:rsid w:val="008765DE"/>
    <w:rsid w:val="00876B4D"/>
    <w:rsid w:val="00877F18"/>
    <w:rsid w:val="008802BC"/>
    <w:rsid w:val="00881757"/>
    <w:rsid w:val="00894A88"/>
    <w:rsid w:val="00895386"/>
    <w:rsid w:val="008A21FF"/>
    <w:rsid w:val="008A2CE2"/>
    <w:rsid w:val="008A30AC"/>
    <w:rsid w:val="008A44B8"/>
    <w:rsid w:val="008A45DB"/>
    <w:rsid w:val="008A51A8"/>
    <w:rsid w:val="008A54C7"/>
    <w:rsid w:val="008A77D8"/>
    <w:rsid w:val="008A7A6A"/>
    <w:rsid w:val="008B0483"/>
    <w:rsid w:val="008B120C"/>
    <w:rsid w:val="008B51A0"/>
    <w:rsid w:val="008B592A"/>
    <w:rsid w:val="008B62D3"/>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1C1F"/>
    <w:rsid w:val="008E2073"/>
    <w:rsid w:val="008E34CC"/>
    <w:rsid w:val="008E35B9"/>
    <w:rsid w:val="008E5EFD"/>
    <w:rsid w:val="008E6BCF"/>
    <w:rsid w:val="008E7B62"/>
    <w:rsid w:val="008F1EAB"/>
    <w:rsid w:val="008F33DC"/>
    <w:rsid w:val="008F477F"/>
    <w:rsid w:val="00902350"/>
    <w:rsid w:val="0090336B"/>
    <w:rsid w:val="00903C11"/>
    <w:rsid w:val="009048B9"/>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3742"/>
    <w:rsid w:val="0094385C"/>
    <w:rsid w:val="00945C05"/>
    <w:rsid w:val="00945F2D"/>
    <w:rsid w:val="00946945"/>
    <w:rsid w:val="00947713"/>
    <w:rsid w:val="00947A46"/>
    <w:rsid w:val="00950DE7"/>
    <w:rsid w:val="009516A3"/>
    <w:rsid w:val="00952A24"/>
    <w:rsid w:val="00953920"/>
    <w:rsid w:val="00953D47"/>
    <w:rsid w:val="0095681E"/>
    <w:rsid w:val="009572D4"/>
    <w:rsid w:val="00957CFF"/>
    <w:rsid w:val="00960866"/>
    <w:rsid w:val="00961921"/>
    <w:rsid w:val="00962F07"/>
    <w:rsid w:val="00963D86"/>
    <w:rsid w:val="0096430A"/>
    <w:rsid w:val="0096554B"/>
    <w:rsid w:val="0096584A"/>
    <w:rsid w:val="00966E10"/>
    <w:rsid w:val="00971F08"/>
    <w:rsid w:val="00973448"/>
    <w:rsid w:val="0097603D"/>
    <w:rsid w:val="00976949"/>
    <w:rsid w:val="00976B9C"/>
    <w:rsid w:val="00980477"/>
    <w:rsid w:val="009806BD"/>
    <w:rsid w:val="00980BCF"/>
    <w:rsid w:val="00985253"/>
    <w:rsid w:val="009853B3"/>
    <w:rsid w:val="00985BFD"/>
    <w:rsid w:val="00990630"/>
    <w:rsid w:val="009914C1"/>
    <w:rsid w:val="00991761"/>
    <w:rsid w:val="009936B5"/>
    <w:rsid w:val="00993CD0"/>
    <w:rsid w:val="00994DCA"/>
    <w:rsid w:val="009960EC"/>
    <w:rsid w:val="009970DD"/>
    <w:rsid w:val="00997CB2"/>
    <w:rsid w:val="009A0FBA"/>
    <w:rsid w:val="009A1601"/>
    <w:rsid w:val="009A18A7"/>
    <w:rsid w:val="009A3E8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0DB6"/>
    <w:rsid w:val="009E14E0"/>
    <w:rsid w:val="009E1819"/>
    <w:rsid w:val="009E35DB"/>
    <w:rsid w:val="009E47A3"/>
    <w:rsid w:val="009F08F3"/>
    <w:rsid w:val="009F221A"/>
    <w:rsid w:val="009F24D2"/>
    <w:rsid w:val="009F344F"/>
    <w:rsid w:val="009F79EA"/>
    <w:rsid w:val="00A01B8D"/>
    <w:rsid w:val="00A031D8"/>
    <w:rsid w:val="00A048A8"/>
    <w:rsid w:val="00A04F49"/>
    <w:rsid w:val="00A056FD"/>
    <w:rsid w:val="00A068CE"/>
    <w:rsid w:val="00A13E54"/>
    <w:rsid w:val="00A1491F"/>
    <w:rsid w:val="00A15745"/>
    <w:rsid w:val="00A15DEF"/>
    <w:rsid w:val="00A17F63"/>
    <w:rsid w:val="00A2193B"/>
    <w:rsid w:val="00A2351A"/>
    <w:rsid w:val="00A26150"/>
    <w:rsid w:val="00A264A9"/>
    <w:rsid w:val="00A27681"/>
    <w:rsid w:val="00A27785"/>
    <w:rsid w:val="00A30187"/>
    <w:rsid w:val="00A31306"/>
    <w:rsid w:val="00A3448A"/>
    <w:rsid w:val="00A36297"/>
    <w:rsid w:val="00A41E2B"/>
    <w:rsid w:val="00A45B74"/>
    <w:rsid w:val="00A46B7A"/>
    <w:rsid w:val="00A46C83"/>
    <w:rsid w:val="00A47102"/>
    <w:rsid w:val="00A50493"/>
    <w:rsid w:val="00A52E1D"/>
    <w:rsid w:val="00A60D68"/>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D5D"/>
    <w:rsid w:val="00AD3F94"/>
    <w:rsid w:val="00AD4A5A"/>
    <w:rsid w:val="00AE27AC"/>
    <w:rsid w:val="00AE2FEB"/>
    <w:rsid w:val="00AE3FAC"/>
    <w:rsid w:val="00AE40E0"/>
    <w:rsid w:val="00AE4DBA"/>
    <w:rsid w:val="00AE4F07"/>
    <w:rsid w:val="00AE6F47"/>
    <w:rsid w:val="00AF1C5D"/>
    <w:rsid w:val="00AF3459"/>
    <w:rsid w:val="00AF42D7"/>
    <w:rsid w:val="00B006FE"/>
    <w:rsid w:val="00B007CB"/>
    <w:rsid w:val="00B02AA9"/>
    <w:rsid w:val="00B02FA3"/>
    <w:rsid w:val="00B03374"/>
    <w:rsid w:val="00B05084"/>
    <w:rsid w:val="00B05274"/>
    <w:rsid w:val="00B05F83"/>
    <w:rsid w:val="00B12BC0"/>
    <w:rsid w:val="00B136EB"/>
    <w:rsid w:val="00B157F9"/>
    <w:rsid w:val="00B1761D"/>
    <w:rsid w:val="00B20256"/>
    <w:rsid w:val="00B20D09"/>
    <w:rsid w:val="00B25940"/>
    <w:rsid w:val="00B25B14"/>
    <w:rsid w:val="00B2763F"/>
    <w:rsid w:val="00B277F0"/>
    <w:rsid w:val="00B27AAC"/>
    <w:rsid w:val="00B30929"/>
    <w:rsid w:val="00B330F7"/>
    <w:rsid w:val="00B355EB"/>
    <w:rsid w:val="00B372AA"/>
    <w:rsid w:val="00B40445"/>
    <w:rsid w:val="00B41888"/>
    <w:rsid w:val="00B427DA"/>
    <w:rsid w:val="00B45A52"/>
    <w:rsid w:val="00B46175"/>
    <w:rsid w:val="00B4682A"/>
    <w:rsid w:val="00B47284"/>
    <w:rsid w:val="00B55DE4"/>
    <w:rsid w:val="00B664C7"/>
    <w:rsid w:val="00B739F6"/>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02B"/>
    <w:rsid w:val="00C015F1"/>
    <w:rsid w:val="00C01CA6"/>
    <w:rsid w:val="00C01F33"/>
    <w:rsid w:val="00C02A4C"/>
    <w:rsid w:val="00C02CC6"/>
    <w:rsid w:val="00C033FB"/>
    <w:rsid w:val="00C040F7"/>
    <w:rsid w:val="00C044AB"/>
    <w:rsid w:val="00C04622"/>
    <w:rsid w:val="00C05706"/>
    <w:rsid w:val="00C07377"/>
    <w:rsid w:val="00C10478"/>
    <w:rsid w:val="00C11726"/>
    <w:rsid w:val="00C1202C"/>
    <w:rsid w:val="00C12107"/>
    <w:rsid w:val="00C130EE"/>
    <w:rsid w:val="00C14D4B"/>
    <w:rsid w:val="00C154BB"/>
    <w:rsid w:val="00C22FB5"/>
    <w:rsid w:val="00C27418"/>
    <w:rsid w:val="00C279B5"/>
    <w:rsid w:val="00C27C45"/>
    <w:rsid w:val="00C33047"/>
    <w:rsid w:val="00C3719D"/>
    <w:rsid w:val="00C45B04"/>
    <w:rsid w:val="00C47CB2"/>
    <w:rsid w:val="00C5301F"/>
    <w:rsid w:val="00C54995"/>
    <w:rsid w:val="00C54D41"/>
    <w:rsid w:val="00C60783"/>
    <w:rsid w:val="00C612EB"/>
    <w:rsid w:val="00C64002"/>
    <w:rsid w:val="00C64672"/>
    <w:rsid w:val="00C70697"/>
    <w:rsid w:val="00C70A68"/>
    <w:rsid w:val="00C72EF4"/>
    <w:rsid w:val="00C75D2F"/>
    <w:rsid w:val="00C767BE"/>
    <w:rsid w:val="00C76E3C"/>
    <w:rsid w:val="00C81568"/>
    <w:rsid w:val="00C8502D"/>
    <w:rsid w:val="00C85D6E"/>
    <w:rsid w:val="00C8609E"/>
    <w:rsid w:val="00C878BE"/>
    <w:rsid w:val="00C87B9F"/>
    <w:rsid w:val="00C9027A"/>
    <w:rsid w:val="00C9068E"/>
    <w:rsid w:val="00C923AD"/>
    <w:rsid w:val="00C93C4B"/>
    <w:rsid w:val="00C944AB"/>
    <w:rsid w:val="00C95B40"/>
    <w:rsid w:val="00CA1068"/>
    <w:rsid w:val="00CA1ED8"/>
    <w:rsid w:val="00CA2417"/>
    <w:rsid w:val="00CA2DB3"/>
    <w:rsid w:val="00CB1DFB"/>
    <w:rsid w:val="00CB1F63"/>
    <w:rsid w:val="00CB471D"/>
    <w:rsid w:val="00CB5115"/>
    <w:rsid w:val="00CB7170"/>
    <w:rsid w:val="00CC040E"/>
    <w:rsid w:val="00CC111F"/>
    <w:rsid w:val="00CC2011"/>
    <w:rsid w:val="00CC3EA0"/>
    <w:rsid w:val="00CC7B45"/>
    <w:rsid w:val="00CD1188"/>
    <w:rsid w:val="00CD2ED1"/>
    <w:rsid w:val="00CD337B"/>
    <w:rsid w:val="00CD7E64"/>
    <w:rsid w:val="00CE0424"/>
    <w:rsid w:val="00CE3F12"/>
    <w:rsid w:val="00CE6BB5"/>
    <w:rsid w:val="00CE7561"/>
    <w:rsid w:val="00CF1354"/>
    <w:rsid w:val="00CF13C7"/>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3C2D"/>
    <w:rsid w:val="00D36E71"/>
    <w:rsid w:val="00D37D87"/>
    <w:rsid w:val="00D40B33"/>
    <w:rsid w:val="00D4318F"/>
    <w:rsid w:val="00D438BF"/>
    <w:rsid w:val="00D440F8"/>
    <w:rsid w:val="00D45123"/>
    <w:rsid w:val="00D45A02"/>
    <w:rsid w:val="00D51914"/>
    <w:rsid w:val="00D546FF"/>
    <w:rsid w:val="00D55AD5"/>
    <w:rsid w:val="00D573F8"/>
    <w:rsid w:val="00D576CA"/>
    <w:rsid w:val="00D61AF5"/>
    <w:rsid w:val="00D652B5"/>
    <w:rsid w:val="00D66155"/>
    <w:rsid w:val="00D708B0"/>
    <w:rsid w:val="00D73A11"/>
    <w:rsid w:val="00D75F7D"/>
    <w:rsid w:val="00D76D21"/>
    <w:rsid w:val="00D77B1D"/>
    <w:rsid w:val="00D80074"/>
    <w:rsid w:val="00D8021F"/>
    <w:rsid w:val="00D80383"/>
    <w:rsid w:val="00D823C6"/>
    <w:rsid w:val="00D8337F"/>
    <w:rsid w:val="00D83EAD"/>
    <w:rsid w:val="00D86027"/>
    <w:rsid w:val="00D86CA3"/>
    <w:rsid w:val="00D871C2"/>
    <w:rsid w:val="00D871CE"/>
    <w:rsid w:val="00D9196D"/>
    <w:rsid w:val="00D92982"/>
    <w:rsid w:val="00DA1C59"/>
    <w:rsid w:val="00DA305E"/>
    <w:rsid w:val="00DA5417"/>
    <w:rsid w:val="00DA56E8"/>
    <w:rsid w:val="00DB029B"/>
    <w:rsid w:val="00DB0A9F"/>
    <w:rsid w:val="00DB34A7"/>
    <w:rsid w:val="00DB377D"/>
    <w:rsid w:val="00DB55C5"/>
    <w:rsid w:val="00DB587B"/>
    <w:rsid w:val="00DC284E"/>
    <w:rsid w:val="00DC2D36"/>
    <w:rsid w:val="00DC53EF"/>
    <w:rsid w:val="00DC7B2C"/>
    <w:rsid w:val="00DD21B3"/>
    <w:rsid w:val="00DD39D9"/>
    <w:rsid w:val="00DE25A1"/>
    <w:rsid w:val="00DE36F2"/>
    <w:rsid w:val="00DE5608"/>
    <w:rsid w:val="00DE58D0"/>
    <w:rsid w:val="00DE654F"/>
    <w:rsid w:val="00DF0B6E"/>
    <w:rsid w:val="00DF0C7E"/>
    <w:rsid w:val="00DF15E0"/>
    <w:rsid w:val="00DF37A0"/>
    <w:rsid w:val="00DF52B6"/>
    <w:rsid w:val="00E07FA1"/>
    <w:rsid w:val="00E10A94"/>
    <w:rsid w:val="00E110E7"/>
    <w:rsid w:val="00E111B7"/>
    <w:rsid w:val="00E11B20"/>
    <w:rsid w:val="00E130A7"/>
    <w:rsid w:val="00E17FA2"/>
    <w:rsid w:val="00E22330"/>
    <w:rsid w:val="00E22E69"/>
    <w:rsid w:val="00E276BD"/>
    <w:rsid w:val="00E30B5A"/>
    <w:rsid w:val="00E3123D"/>
    <w:rsid w:val="00E31461"/>
    <w:rsid w:val="00E31D43"/>
    <w:rsid w:val="00E32608"/>
    <w:rsid w:val="00E34188"/>
    <w:rsid w:val="00E34B6E"/>
    <w:rsid w:val="00E35559"/>
    <w:rsid w:val="00E3723A"/>
    <w:rsid w:val="00E37860"/>
    <w:rsid w:val="00E41AAB"/>
    <w:rsid w:val="00E446F1"/>
    <w:rsid w:val="00E4546A"/>
    <w:rsid w:val="00E46886"/>
    <w:rsid w:val="00E47AEF"/>
    <w:rsid w:val="00E509CE"/>
    <w:rsid w:val="00E53B75"/>
    <w:rsid w:val="00E54E3B"/>
    <w:rsid w:val="00E5689D"/>
    <w:rsid w:val="00E57565"/>
    <w:rsid w:val="00E63838"/>
    <w:rsid w:val="00E64434"/>
    <w:rsid w:val="00E65010"/>
    <w:rsid w:val="00E6620C"/>
    <w:rsid w:val="00E66FAF"/>
    <w:rsid w:val="00E67C51"/>
    <w:rsid w:val="00E72EFC"/>
    <w:rsid w:val="00E758EC"/>
    <w:rsid w:val="00E80165"/>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A7EE8"/>
    <w:rsid w:val="00EB077B"/>
    <w:rsid w:val="00EB4EA2"/>
    <w:rsid w:val="00EC06B7"/>
    <w:rsid w:val="00EC114D"/>
    <w:rsid w:val="00EC27C6"/>
    <w:rsid w:val="00EC4207"/>
    <w:rsid w:val="00EC5653"/>
    <w:rsid w:val="00EC676C"/>
    <w:rsid w:val="00EC71CE"/>
    <w:rsid w:val="00EC77A7"/>
    <w:rsid w:val="00ED1006"/>
    <w:rsid w:val="00ED4F50"/>
    <w:rsid w:val="00ED73FE"/>
    <w:rsid w:val="00EE2904"/>
    <w:rsid w:val="00EE59C8"/>
    <w:rsid w:val="00EE6900"/>
    <w:rsid w:val="00EF18FE"/>
    <w:rsid w:val="00EF3CC4"/>
    <w:rsid w:val="00EF5787"/>
    <w:rsid w:val="00EF60D0"/>
    <w:rsid w:val="00F0528D"/>
    <w:rsid w:val="00F053FD"/>
    <w:rsid w:val="00F06C67"/>
    <w:rsid w:val="00F06DFD"/>
    <w:rsid w:val="00F06F2F"/>
    <w:rsid w:val="00F071D1"/>
    <w:rsid w:val="00F07533"/>
    <w:rsid w:val="00F07A4C"/>
    <w:rsid w:val="00F10629"/>
    <w:rsid w:val="00F1460F"/>
    <w:rsid w:val="00F15279"/>
    <w:rsid w:val="00F15BF9"/>
    <w:rsid w:val="00F15FA5"/>
    <w:rsid w:val="00F209B7"/>
    <w:rsid w:val="00F2376F"/>
    <w:rsid w:val="00F243D8"/>
    <w:rsid w:val="00F30828"/>
    <w:rsid w:val="00F313D6"/>
    <w:rsid w:val="00F40F0C"/>
    <w:rsid w:val="00F4404C"/>
    <w:rsid w:val="00F4766C"/>
    <w:rsid w:val="00F5004F"/>
    <w:rsid w:val="00F5060E"/>
    <w:rsid w:val="00F507D1"/>
    <w:rsid w:val="00F519CE"/>
    <w:rsid w:val="00F51ADA"/>
    <w:rsid w:val="00F607C5"/>
    <w:rsid w:val="00F60DEA"/>
    <w:rsid w:val="00F619FA"/>
    <w:rsid w:val="00F6302A"/>
    <w:rsid w:val="00F638BE"/>
    <w:rsid w:val="00F64C2B"/>
    <w:rsid w:val="00F651BE"/>
    <w:rsid w:val="00F67F53"/>
    <w:rsid w:val="00F703BE"/>
    <w:rsid w:val="00F71344"/>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A43EC"/>
    <w:rsid w:val="00FA7C7E"/>
    <w:rsid w:val="00FB4C80"/>
    <w:rsid w:val="00FB543A"/>
    <w:rsid w:val="00FB5D36"/>
    <w:rsid w:val="00FB64B5"/>
    <w:rsid w:val="00FB6A6A"/>
    <w:rsid w:val="00FC5B8A"/>
    <w:rsid w:val="00FC7429"/>
    <w:rsid w:val="00FC7AAE"/>
    <w:rsid w:val="00FD07F6"/>
    <w:rsid w:val="00FD1EC8"/>
    <w:rsid w:val="00FD47ED"/>
    <w:rsid w:val="00FD56A3"/>
    <w:rsid w:val="00FD74DB"/>
    <w:rsid w:val="00FD7660"/>
    <w:rsid w:val="00FE0655"/>
    <w:rsid w:val="00FE2365"/>
    <w:rsid w:val="00FE37D7"/>
    <w:rsid w:val="00FE4C7B"/>
    <w:rsid w:val="00FE53CF"/>
    <w:rsid w:val="00FE6111"/>
    <w:rsid w:val="00FE6FC7"/>
    <w:rsid w:val="00FE7336"/>
    <w:rsid w:val="00FE787C"/>
    <w:rsid w:val="00FF1706"/>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F91"/>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306F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F91"/>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DE36F2"/>
    <w:rPr>
      <w:color w:val="80808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60240E"/>
    <w:rPr>
      <w:rFonts w:ascii="Times New Roman" w:hAnsi="Times New Roman"/>
      <w:b/>
      <w:bCs/>
      <w:lang w:val="en-GB" w:eastAsia="zh-CN"/>
    </w:rPr>
  </w:style>
  <w:style w:type="paragraph" w:customStyle="1" w:styleId="IvDbodytext">
    <w:name w:val="IvD bodytext"/>
    <w:basedOn w:val="BodyText"/>
    <w:link w:val="IvDbodytextChar"/>
    <w:qFormat/>
    <w:rsid w:val="007E6D7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7E6D7D"/>
    <w:rPr>
      <w:rFonts w:ascii="Arial" w:eastAsia="SimSun"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8B397-6FF2-4719-BB35-8FF35CAE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2017-09-28T20:23:00Z</dcterms:created>
  <dcterms:modified xsi:type="dcterms:W3CDTF">2018-02-16T08:46:00Z</dcterms:modified>
</cp:coreProperties>
</file>